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F821B" w14:textId="36A400CB" w:rsidR="00BD4BE3" w:rsidRPr="00405736" w:rsidRDefault="007A2CEF" w:rsidP="007A2CEF">
      <w:pPr>
        <w:pStyle w:val="ListParagraph"/>
        <w:numPr>
          <w:ilvl w:val="0"/>
          <w:numId w:val="1"/>
        </w:numPr>
        <w:jc w:val="both"/>
        <w:rPr>
          <w:rFonts w:ascii="Book Antiqua" w:hAnsi="Book Antiqua"/>
          <w:b/>
          <w:bCs/>
        </w:rPr>
      </w:pPr>
      <w:r w:rsidRPr="00405736">
        <w:rPr>
          <w:rFonts w:ascii="Book Antiqua" w:hAnsi="Book Antiqua"/>
          <w:b/>
          <w:bCs/>
        </w:rPr>
        <w:t>Molim vas pojašnjenje kriterija za bodovanje razina programa koji se mogu prijaviti na Javni poziv, u tablici koja je sastavni dio Javnog poziva nisu navedeni bodovi. </w:t>
      </w:r>
    </w:p>
    <w:p w14:paraId="41CB4CCA" w14:textId="562B0DDC" w:rsidR="007A2CEF" w:rsidRPr="00405736" w:rsidRDefault="007A2CEF" w:rsidP="002631D0">
      <w:pPr>
        <w:pStyle w:val="ListParagraph"/>
        <w:jc w:val="both"/>
        <w:rPr>
          <w:rFonts w:ascii="Book Antiqua" w:hAnsi="Book Antiqua"/>
          <w:bCs/>
        </w:rPr>
      </w:pPr>
      <w:r w:rsidRPr="00405736">
        <w:rPr>
          <w:rFonts w:ascii="Book Antiqua" w:hAnsi="Book Antiqua"/>
          <w:bCs/>
        </w:rPr>
        <w:t>Događanja koja kumulativno ispunjavaju propisane uvjete za pojedinu razinu bit će razmotrena i ocijenjena sukladno kriterijima iz Priloga 1.  ovog Javnog poziva koji se može preuzeti na službenoj internetskoj stranici Grada Zagreba (</w:t>
      </w:r>
      <w:hyperlink r:id="rId7" w:history="1">
        <w:r w:rsidRPr="00405736">
          <w:rPr>
            <w:rStyle w:val="Hyperlink"/>
            <w:rFonts w:ascii="Book Antiqua" w:hAnsi="Book Antiqua"/>
            <w:bCs/>
          </w:rPr>
          <w:t>www.zagreb.hr</w:t>
        </w:r>
      </w:hyperlink>
      <w:r w:rsidRPr="00405736">
        <w:rPr>
          <w:rFonts w:ascii="Book Antiqua" w:hAnsi="Book Antiqua"/>
          <w:bCs/>
        </w:rPr>
        <w:t>).</w:t>
      </w:r>
    </w:p>
    <w:p w14:paraId="4CBF85D1" w14:textId="77777777" w:rsidR="0069276B" w:rsidRPr="00405736" w:rsidRDefault="0069276B" w:rsidP="002631D0">
      <w:pPr>
        <w:pStyle w:val="ListParagraph"/>
        <w:jc w:val="both"/>
        <w:rPr>
          <w:rFonts w:ascii="Book Antiqua" w:hAnsi="Book Antiqua"/>
          <w:bCs/>
        </w:rPr>
      </w:pPr>
    </w:p>
    <w:p w14:paraId="78B89B03" w14:textId="38603668" w:rsidR="007A2CEF" w:rsidRPr="00405736" w:rsidRDefault="007A2CEF" w:rsidP="007A2CEF">
      <w:pPr>
        <w:pStyle w:val="ListParagraph"/>
        <w:numPr>
          <w:ilvl w:val="0"/>
          <w:numId w:val="1"/>
        </w:numPr>
        <w:jc w:val="both"/>
        <w:rPr>
          <w:rFonts w:ascii="Book Antiqua" w:hAnsi="Book Antiqua"/>
          <w:b/>
        </w:rPr>
      </w:pPr>
      <w:r w:rsidRPr="00405736">
        <w:rPr>
          <w:rFonts w:ascii="Book Antiqua" w:hAnsi="Book Antiqua"/>
          <w:b/>
        </w:rPr>
        <w:t>Ukoliko su dva suorganizatora (u našem slučaju trgovačko društvo i udruga), može li kao i do sada udruga provoditi prodaju ulaznica za festival?</w:t>
      </w:r>
    </w:p>
    <w:p w14:paraId="6A002A31" w14:textId="393AE97C" w:rsidR="0069276B" w:rsidRDefault="0069276B" w:rsidP="003875C3">
      <w:pPr>
        <w:pStyle w:val="ListParagraph"/>
        <w:jc w:val="both"/>
        <w:rPr>
          <w:rFonts w:ascii="Book Antiqua" w:hAnsi="Book Antiqua"/>
          <w:bCs/>
        </w:rPr>
      </w:pPr>
      <w:r w:rsidRPr="00591CED">
        <w:rPr>
          <w:rFonts w:ascii="Book Antiqua" w:hAnsi="Book Antiqua"/>
          <w:bCs/>
        </w:rPr>
        <w:t>Može</w:t>
      </w:r>
      <w:r w:rsidR="000C00FE" w:rsidRPr="00591CED">
        <w:rPr>
          <w:rFonts w:ascii="Book Antiqua" w:hAnsi="Book Antiqua"/>
          <w:bCs/>
        </w:rPr>
        <w:t xml:space="preserve">, </w:t>
      </w:r>
      <w:r w:rsidR="00591CED" w:rsidRPr="00591CED">
        <w:rPr>
          <w:rFonts w:ascii="Book Antiqua" w:hAnsi="Book Antiqua"/>
          <w:bCs/>
        </w:rPr>
        <w:t>na način da se</w:t>
      </w:r>
      <w:r w:rsidR="000C00FE" w:rsidRPr="00591CED">
        <w:rPr>
          <w:rFonts w:ascii="Book Antiqua" w:hAnsi="Book Antiqua"/>
          <w:bCs/>
        </w:rPr>
        <w:t xml:space="preserve"> </w:t>
      </w:r>
      <w:r w:rsidR="00C5018A" w:rsidRPr="00591CED">
        <w:rPr>
          <w:rFonts w:ascii="Book Antiqua" w:hAnsi="Book Antiqua"/>
          <w:bCs/>
        </w:rPr>
        <w:t xml:space="preserve">u Prijavi </w:t>
      </w:r>
      <w:r w:rsidR="000C00FE" w:rsidRPr="00591CED">
        <w:rPr>
          <w:rFonts w:ascii="Book Antiqua" w:hAnsi="Book Antiqua"/>
          <w:bCs/>
        </w:rPr>
        <w:t>naved</w:t>
      </w:r>
      <w:r w:rsidR="00591CED" w:rsidRPr="00591CED">
        <w:rPr>
          <w:rFonts w:ascii="Book Antiqua" w:hAnsi="Book Antiqua"/>
          <w:bCs/>
        </w:rPr>
        <w:t>u sve</w:t>
      </w:r>
      <w:r w:rsidR="000C00FE" w:rsidRPr="00591CED">
        <w:rPr>
          <w:rFonts w:ascii="Book Antiqua" w:hAnsi="Book Antiqua"/>
          <w:bCs/>
        </w:rPr>
        <w:t xml:space="preserve"> </w:t>
      </w:r>
      <w:r w:rsidR="00591CED" w:rsidRPr="00591CED">
        <w:rPr>
          <w:rFonts w:ascii="Book Antiqua" w:hAnsi="Book Antiqua"/>
          <w:bCs/>
        </w:rPr>
        <w:t>aktivnosti</w:t>
      </w:r>
      <w:r w:rsidR="000C00FE" w:rsidRPr="00591CED">
        <w:rPr>
          <w:rFonts w:ascii="Book Antiqua" w:hAnsi="Book Antiqua"/>
          <w:bCs/>
        </w:rPr>
        <w:t xml:space="preserve"> </w:t>
      </w:r>
      <w:r w:rsidR="00591CED" w:rsidRPr="00591CED">
        <w:rPr>
          <w:rFonts w:ascii="Book Antiqua" w:hAnsi="Book Antiqua"/>
          <w:bCs/>
        </w:rPr>
        <w:t xml:space="preserve">koje će provoditi </w:t>
      </w:r>
      <w:r w:rsidR="000C00FE" w:rsidRPr="00591CED">
        <w:rPr>
          <w:rFonts w:ascii="Book Antiqua" w:hAnsi="Book Antiqua"/>
          <w:bCs/>
        </w:rPr>
        <w:t xml:space="preserve">suorganizator (neka druga pravna osoba, različita od </w:t>
      </w:r>
      <w:r w:rsidR="00591CED" w:rsidRPr="00591CED">
        <w:rPr>
          <w:rFonts w:ascii="Book Antiqua" w:hAnsi="Book Antiqua"/>
          <w:bCs/>
        </w:rPr>
        <w:t>P</w:t>
      </w:r>
      <w:r w:rsidR="000C00FE" w:rsidRPr="00591CED">
        <w:rPr>
          <w:rFonts w:ascii="Book Antiqua" w:hAnsi="Book Antiqua"/>
          <w:bCs/>
        </w:rPr>
        <w:t xml:space="preserve">rijavitelja) </w:t>
      </w:r>
      <w:r w:rsidR="00591CED" w:rsidRPr="00591CED">
        <w:rPr>
          <w:rFonts w:ascii="Book Antiqua" w:hAnsi="Book Antiqua"/>
          <w:bCs/>
        </w:rPr>
        <w:t>te</w:t>
      </w:r>
      <w:r w:rsidR="000C00FE" w:rsidRPr="00591CED">
        <w:rPr>
          <w:rFonts w:ascii="Book Antiqua" w:hAnsi="Book Antiqua"/>
          <w:bCs/>
        </w:rPr>
        <w:t xml:space="preserve"> </w:t>
      </w:r>
      <w:r w:rsidR="00591CED" w:rsidRPr="00591CED">
        <w:rPr>
          <w:rFonts w:ascii="Book Antiqua" w:hAnsi="Book Antiqua"/>
          <w:bCs/>
        </w:rPr>
        <w:t>da se u</w:t>
      </w:r>
      <w:r w:rsidR="000C00FE" w:rsidRPr="00591CED">
        <w:rPr>
          <w:rFonts w:ascii="Book Antiqua" w:hAnsi="Book Antiqua"/>
          <w:bCs/>
        </w:rPr>
        <w:t xml:space="preserve"> izvješću dostav</w:t>
      </w:r>
      <w:r w:rsidR="00591CED" w:rsidRPr="00591CED">
        <w:rPr>
          <w:rFonts w:ascii="Book Antiqua" w:hAnsi="Book Antiqua"/>
          <w:bCs/>
        </w:rPr>
        <w:t>e</w:t>
      </w:r>
      <w:r w:rsidR="000C00FE" w:rsidRPr="00591CED">
        <w:rPr>
          <w:rFonts w:ascii="Book Antiqua" w:hAnsi="Book Antiqua"/>
          <w:bCs/>
        </w:rPr>
        <w:t xml:space="preserve"> odgovarajuć</w:t>
      </w:r>
      <w:r w:rsidR="00591CED" w:rsidRPr="00591CED">
        <w:rPr>
          <w:rFonts w:ascii="Book Antiqua" w:hAnsi="Book Antiqua"/>
          <w:bCs/>
        </w:rPr>
        <w:t>i</w:t>
      </w:r>
      <w:r w:rsidR="000C00FE" w:rsidRPr="00591CED">
        <w:rPr>
          <w:rFonts w:ascii="Book Antiqua" w:hAnsi="Book Antiqua"/>
          <w:bCs/>
        </w:rPr>
        <w:t xml:space="preserve"> dokaz</w:t>
      </w:r>
      <w:r w:rsidR="00591CED" w:rsidRPr="00591CED">
        <w:rPr>
          <w:rFonts w:ascii="Book Antiqua" w:hAnsi="Book Antiqua"/>
          <w:bCs/>
        </w:rPr>
        <w:t>i</w:t>
      </w:r>
      <w:r w:rsidR="000C00FE" w:rsidRPr="00591CED">
        <w:rPr>
          <w:rFonts w:ascii="Book Antiqua" w:hAnsi="Book Antiqua"/>
          <w:bCs/>
        </w:rPr>
        <w:t>.</w:t>
      </w:r>
      <w:r w:rsidR="000C00FE">
        <w:rPr>
          <w:rFonts w:ascii="Book Antiqua" w:hAnsi="Book Antiqua"/>
          <w:bCs/>
        </w:rPr>
        <w:t xml:space="preserve"> </w:t>
      </w:r>
    </w:p>
    <w:p w14:paraId="4E9AC3A5" w14:textId="77777777" w:rsidR="001E077A" w:rsidRPr="003875C3" w:rsidRDefault="001E077A" w:rsidP="003875C3">
      <w:pPr>
        <w:pStyle w:val="ListParagraph"/>
        <w:jc w:val="both"/>
        <w:rPr>
          <w:rFonts w:ascii="Book Antiqua" w:hAnsi="Book Antiqua"/>
          <w:bCs/>
        </w:rPr>
      </w:pPr>
    </w:p>
    <w:p w14:paraId="07C5EFD4" w14:textId="2EB79511" w:rsidR="007A2CEF" w:rsidRPr="00405736" w:rsidRDefault="007A2CEF" w:rsidP="007A2CEF">
      <w:pPr>
        <w:pStyle w:val="ListParagraph"/>
        <w:numPr>
          <w:ilvl w:val="0"/>
          <w:numId w:val="1"/>
        </w:numPr>
        <w:jc w:val="both"/>
        <w:rPr>
          <w:rFonts w:ascii="Book Antiqua" w:hAnsi="Book Antiqua"/>
          <w:b/>
        </w:rPr>
      </w:pPr>
      <w:r w:rsidRPr="00405736">
        <w:rPr>
          <w:rFonts w:ascii="Book Antiqua" w:hAnsi="Book Antiqua"/>
          <w:b/>
        </w:rPr>
        <w:t>Ako program uključuje dva tjedna od kojih je jedan na centralnoj lokaciji gdje je moguće prodavati ulaznice i vršiti kontrolu iskorištenih ulaznica, a drugi tjedan uključuje lokacije u gradu u kojim će također biti organiziran program i izložbe, a gdje nije moguće na svakoj lokaciji vršiti prodaju ulaznica, jer se radi o 30 lokacija, kako dokazujemo 75% prodanih ulaznica?</w:t>
      </w:r>
    </w:p>
    <w:p w14:paraId="25F1868C" w14:textId="4DC62DBD" w:rsidR="0069276B" w:rsidRDefault="007A2CEF" w:rsidP="003875C3">
      <w:pPr>
        <w:pStyle w:val="ListParagraph"/>
        <w:jc w:val="both"/>
        <w:rPr>
          <w:rFonts w:ascii="Book Antiqua" w:hAnsi="Book Antiqua"/>
          <w:bCs/>
        </w:rPr>
      </w:pPr>
      <w:r w:rsidRPr="000C00FE">
        <w:rPr>
          <w:rFonts w:ascii="Book Antiqua" w:hAnsi="Book Antiqua"/>
          <w:bCs/>
        </w:rPr>
        <w:t xml:space="preserve">Pri utvrđivanju broja posjetitelja, u obzir se uzima ukupan broj </w:t>
      </w:r>
      <w:r w:rsidR="000C00FE">
        <w:rPr>
          <w:rFonts w:ascii="Book Antiqua" w:hAnsi="Book Antiqua"/>
          <w:bCs/>
        </w:rPr>
        <w:t>karata/</w:t>
      </w:r>
      <w:r w:rsidRPr="000C00FE">
        <w:rPr>
          <w:rFonts w:ascii="Book Antiqua" w:hAnsi="Book Antiqua"/>
          <w:bCs/>
        </w:rPr>
        <w:t>ulaznica</w:t>
      </w:r>
      <w:r w:rsidR="00140C6E" w:rsidRPr="000C00FE">
        <w:rPr>
          <w:rFonts w:ascii="Book Antiqua" w:hAnsi="Book Antiqua"/>
          <w:bCs/>
        </w:rPr>
        <w:t xml:space="preserve"> koje se odnose na prijavljeno događanje</w:t>
      </w:r>
      <w:r w:rsidRPr="000C00FE">
        <w:rPr>
          <w:rFonts w:ascii="Book Antiqua" w:hAnsi="Book Antiqua"/>
          <w:bCs/>
        </w:rPr>
        <w:t xml:space="preserve">, pri čemu </w:t>
      </w:r>
      <w:r w:rsidR="00140C6E" w:rsidRPr="000C00FE">
        <w:rPr>
          <w:rFonts w:ascii="Book Antiqua" w:hAnsi="Book Antiqua"/>
          <w:bCs/>
        </w:rPr>
        <w:t xml:space="preserve">najmanje 75 % </w:t>
      </w:r>
      <w:r w:rsidR="000C00FE">
        <w:rPr>
          <w:rFonts w:ascii="Book Antiqua" w:hAnsi="Book Antiqua"/>
          <w:bCs/>
        </w:rPr>
        <w:t>karata/</w:t>
      </w:r>
      <w:r w:rsidR="00140C6E" w:rsidRPr="000C00FE">
        <w:rPr>
          <w:rFonts w:ascii="Book Antiqua" w:hAnsi="Book Antiqua"/>
          <w:bCs/>
        </w:rPr>
        <w:t>ulaznica mora biti prodano po tržišnoj cijeni</w:t>
      </w:r>
      <w:r w:rsidR="00D14FFB">
        <w:rPr>
          <w:rFonts w:ascii="Book Antiqua" w:hAnsi="Book Antiqua"/>
          <w:bCs/>
        </w:rPr>
        <w:t xml:space="preserve"> o čemu je nužno dostaviti dokaz.</w:t>
      </w:r>
    </w:p>
    <w:p w14:paraId="1803E05F" w14:textId="77777777" w:rsidR="001E077A" w:rsidRPr="003875C3" w:rsidRDefault="001E077A" w:rsidP="003875C3">
      <w:pPr>
        <w:pStyle w:val="ListParagraph"/>
        <w:jc w:val="both"/>
        <w:rPr>
          <w:rFonts w:ascii="Book Antiqua" w:hAnsi="Book Antiqua"/>
          <w:bCs/>
        </w:rPr>
      </w:pPr>
    </w:p>
    <w:p w14:paraId="281982C6" w14:textId="6B1AA8FB" w:rsidR="00140C6E" w:rsidRPr="00405736" w:rsidRDefault="00140C6E" w:rsidP="00140C6E">
      <w:pPr>
        <w:pStyle w:val="ListParagraph"/>
        <w:numPr>
          <w:ilvl w:val="0"/>
          <w:numId w:val="1"/>
        </w:numPr>
        <w:jc w:val="both"/>
        <w:rPr>
          <w:rFonts w:ascii="Book Antiqua" w:hAnsi="Book Antiqua"/>
          <w:b/>
        </w:rPr>
      </w:pPr>
      <w:r w:rsidRPr="00405736">
        <w:rPr>
          <w:rFonts w:ascii="Book Antiqua" w:hAnsi="Book Antiqua"/>
          <w:b/>
        </w:rPr>
        <w:t>Molim vas pojašnjenje troškovnika koji je sastavni dio prijave, naime prvi dio je trošak koji se prikazuje kao dio sredstava za koji se traži potpora po ovom Javnom pozivu, ali drugi i treći dio su prihodi iz raznih izvora, pa njihovim zbrojem ne znam kako doći do ukupnog troška za događanje?</w:t>
      </w:r>
    </w:p>
    <w:p w14:paraId="4E07F9AD" w14:textId="2B2B9E01" w:rsidR="0099641C" w:rsidRDefault="0099641C" w:rsidP="00140C6E">
      <w:pPr>
        <w:pStyle w:val="ListParagraph"/>
        <w:jc w:val="both"/>
        <w:rPr>
          <w:rFonts w:ascii="Book Antiqua" w:hAnsi="Book Antiqua"/>
          <w:bCs/>
        </w:rPr>
      </w:pPr>
      <w:r w:rsidRPr="00E522FF">
        <w:rPr>
          <w:rFonts w:ascii="Book Antiqua" w:hAnsi="Book Antiqua"/>
          <w:bCs/>
        </w:rPr>
        <w:t xml:space="preserve">U drugom i trećem dijelu (B i C) </w:t>
      </w:r>
      <w:r w:rsidR="003D3CAE" w:rsidRPr="00E522FF">
        <w:rPr>
          <w:rFonts w:ascii="Book Antiqua" w:hAnsi="Book Antiqua"/>
          <w:bCs/>
        </w:rPr>
        <w:t>navedite</w:t>
      </w:r>
      <w:r w:rsidRPr="00E522FF">
        <w:rPr>
          <w:rFonts w:ascii="Book Antiqua" w:hAnsi="Book Antiqua"/>
          <w:bCs/>
        </w:rPr>
        <w:t xml:space="preserve"> iznos sredstava koji ste uprihodili od </w:t>
      </w:r>
      <w:r w:rsidR="003D3CAE" w:rsidRPr="00E522FF">
        <w:rPr>
          <w:rFonts w:ascii="Book Antiqua" w:hAnsi="Book Antiqua"/>
          <w:bCs/>
        </w:rPr>
        <w:t xml:space="preserve">partnera, </w:t>
      </w:r>
      <w:r w:rsidRPr="00E522FF">
        <w:rPr>
          <w:rFonts w:ascii="Book Antiqua" w:hAnsi="Book Antiqua"/>
          <w:bCs/>
        </w:rPr>
        <w:t xml:space="preserve">sponzora i drugih izvora te troškove </w:t>
      </w:r>
      <w:r w:rsidR="003D3CAE" w:rsidRPr="00E522FF">
        <w:rPr>
          <w:rFonts w:ascii="Book Antiqua" w:hAnsi="Book Antiqua"/>
          <w:bCs/>
        </w:rPr>
        <w:t>koji se namjeravaju pokriti iz tih</w:t>
      </w:r>
      <w:r w:rsidRPr="00E522FF">
        <w:rPr>
          <w:rFonts w:ascii="Book Antiqua" w:hAnsi="Book Antiqua"/>
          <w:bCs/>
        </w:rPr>
        <w:t xml:space="preserve"> sredst</w:t>
      </w:r>
      <w:r w:rsidR="003D3CAE" w:rsidRPr="00E522FF">
        <w:rPr>
          <w:rFonts w:ascii="Book Antiqua" w:hAnsi="Book Antiqua"/>
          <w:bCs/>
        </w:rPr>
        <w:t>a</w:t>
      </w:r>
      <w:r w:rsidRPr="00E522FF">
        <w:rPr>
          <w:rFonts w:ascii="Book Antiqua" w:hAnsi="Book Antiqua"/>
          <w:bCs/>
        </w:rPr>
        <w:t xml:space="preserve">va. </w:t>
      </w:r>
      <w:r w:rsidR="003D3CAE" w:rsidRPr="00E522FF">
        <w:rPr>
          <w:rFonts w:ascii="Book Antiqua" w:hAnsi="Book Antiqua"/>
          <w:bCs/>
        </w:rPr>
        <w:t xml:space="preserve">Tako </w:t>
      </w:r>
      <w:r w:rsidRPr="00E522FF">
        <w:rPr>
          <w:rFonts w:ascii="Book Antiqua" w:hAnsi="Book Antiqua"/>
          <w:bCs/>
        </w:rPr>
        <w:t>zbroj A+B+C predstavlja ukupan iznos potrebnih sredstava</w:t>
      </w:r>
      <w:r w:rsidR="003D3CAE" w:rsidRPr="00E522FF">
        <w:rPr>
          <w:rFonts w:ascii="Book Antiqua" w:hAnsi="Book Antiqua"/>
          <w:bCs/>
        </w:rPr>
        <w:t xml:space="preserve"> za organizaciju kulturnog događanja</w:t>
      </w:r>
      <w:r w:rsidRPr="00E522FF">
        <w:rPr>
          <w:rFonts w:ascii="Book Antiqua" w:hAnsi="Book Antiqua"/>
          <w:bCs/>
        </w:rPr>
        <w:t>.</w:t>
      </w:r>
      <w:r>
        <w:rPr>
          <w:rFonts w:ascii="Book Antiqua" w:hAnsi="Book Antiqua"/>
          <w:bCs/>
        </w:rPr>
        <w:t xml:space="preserve"> </w:t>
      </w:r>
    </w:p>
    <w:p w14:paraId="196D0AA2" w14:textId="36C8BD03" w:rsidR="00140C6E" w:rsidRDefault="008918E2" w:rsidP="00140C6E">
      <w:pPr>
        <w:pStyle w:val="ListParagraph"/>
        <w:jc w:val="both"/>
        <w:rPr>
          <w:rFonts w:ascii="Book Antiqua" w:hAnsi="Book Antiqua"/>
          <w:bCs/>
        </w:rPr>
      </w:pPr>
      <w:r>
        <w:rPr>
          <w:rFonts w:ascii="Book Antiqua" w:hAnsi="Book Antiqua"/>
          <w:bCs/>
        </w:rPr>
        <w:t>U</w:t>
      </w:r>
      <w:r w:rsidR="00822E25">
        <w:rPr>
          <w:rFonts w:ascii="Book Antiqua" w:hAnsi="Book Antiqua"/>
          <w:bCs/>
        </w:rPr>
        <w:t xml:space="preserve"> slučaju potrebe</w:t>
      </w:r>
      <w:r>
        <w:rPr>
          <w:rFonts w:ascii="Book Antiqua" w:hAnsi="Book Antiqua"/>
          <w:bCs/>
        </w:rPr>
        <w:t xml:space="preserve">, možete uvrstiti dodatne stavke u obrascu troškovnika i/ili priložiti dodatni troškovnik. </w:t>
      </w:r>
    </w:p>
    <w:p w14:paraId="5A3FD2F8" w14:textId="77777777" w:rsidR="008A6108" w:rsidRPr="00405736" w:rsidRDefault="008A6108" w:rsidP="00140C6E">
      <w:pPr>
        <w:pStyle w:val="ListParagraph"/>
        <w:jc w:val="both"/>
        <w:rPr>
          <w:rFonts w:ascii="Book Antiqua" w:hAnsi="Book Antiqua"/>
          <w:bCs/>
        </w:rPr>
      </w:pPr>
    </w:p>
    <w:p w14:paraId="08CAEE71" w14:textId="664091ED" w:rsidR="00140C6E" w:rsidRPr="00405736" w:rsidRDefault="00140C6E" w:rsidP="00140C6E">
      <w:pPr>
        <w:pStyle w:val="ListParagraph"/>
        <w:numPr>
          <w:ilvl w:val="0"/>
          <w:numId w:val="1"/>
        </w:numPr>
        <w:jc w:val="both"/>
        <w:rPr>
          <w:rFonts w:ascii="Book Antiqua" w:hAnsi="Book Antiqua"/>
          <w:b/>
        </w:rPr>
      </w:pPr>
      <w:r w:rsidRPr="00405736">
        <w:rPr>
          <w:rFonts w:ascii="Book Antiqua" w:hAnsi="Book Antiqua"/>
          <w:b/>
        </w:rPr>
        <w:t xml:space="preserve">Po kriterijima naš festival bi se uklopio u prvu kategoriju. No za kriterij posjećenosti imamo podatak od prošle godine kada je događanje trajalo 6 dana i bilo samo na centralnoj lokaciji u Jadran filmu, kada smo imali preko 16.000 posjetitelja (bez prodaje ulaznica). Zbog veće posjećenosti i širenja sadržaja ove godine imamo </w:t>
      </w:r>
      <w:r w:rsidR="0069276B" w:rsidRPr="00405736">
        <w:rPr>
          <w:rFonts w:ascii="Book Antiqua" w:hAnsi="Book Antiqua"/>
          <w:b/>
        </w:rPr>
        <w:t>dodatnih</w:t>
      </w:r>
      <w:r w:rsidRPr="00405736">
        <w:rPr>
          <w:rFonts w:ascii="Book Antiqua" w:hAnsi="Book Antiqua"/>
          <w:b/>
        </w:rPr>
        <w:t xml:space="preserve"> 30-tak lokacija po gradu, tako da će broj posjetitelja sigurno biti veći od 20.000, no na lokacijama nemamo mehanizam </w:t>
      </w:r>
      <w:r w:rsidRPr="00405736">
        <w:rPr>
          <w:rFonts w:ascii="Book Antiqua" w:hAnsi="Book Antiqua"/>
          <w:b/>
        </w:rPr>
        <w:lastRenderedPageBreak/>
        <w:t>kontrole posjetitelja, budući ih je puno i uključuju otvorene i zatvorene prostore, te također nije bila planirana prodaja ulaznica za taj dio događanja. Prodaja ulaznica nije bila planirana niti za centralnu lokaciju koja ima više od 10.000 kvadratnih metara. Budući je to diskvalifikacijski kriterij za razinu događanja, što bismo trebali učiniti? Prijaviti se za drugu razinu? </w:t>
      </w:r>
    </w:p>
    <w:p w14:paraId="35F5272F" w14:textId="5A0A4685" w:rsidR="00140C6E" w:rsidRPr="00405736" w:rsidRDefault="00140C6E" w:rsidP="00140C6E">
      <w:pPr>
        <w:pStyle w:val="ListParagraph"/>
        <w:jc w:val="both"/>
        <w:rPr>
          <w:rFonts w:ascii="Book Antiqua" w:hAnsi="Book Antiqua"/>
          <w:bCs/>
        </w:rPr>
      </w:pPr>
      <w:r w:rsidRPr="00405736">
        <w:rPr>
          <w:rFonts w:ascii="Book Antiqua" w:hAnsi="Book Antiqua"/>
          <w:bCs/>
        </w:rPr>
        <w:t xml:space="preserve">Ukoliko će se događanje održati nakon podnošenja Prijave, broj posjetitelja dokazuje se procjenom broja na temelju podataka o broju i strukturi posjetitelja koji su prisustvovali događanju u prethodnim godinama, medijskim objavama o broju posjetitelja koji su prisustvovali događanju u prethodnim godinama, procjenama na temelju jasno dokazive metodologije </w:t>
      </w:r>
      <w:r w:rsidR="00363F92" w:rsidRPr="00405736">
        <w:rPr>
          <w:rFonts w:ascii="Book Antiqua" w:hAnsi="Book Antiqua"/>
          <w:bCs/>
        </w:rPr>
        <w:t xml:space="preserve">procjene broja posjetitelja i dr. </w:t>
      </w:r>
      <w:r w:rsidR="00363F92" w:rsidRPr="008918E2">
        <w:rPr>
          <w:rFonts w:ascii="Book Antiqua" w:hAnsi="Book Antiqua"/>
          <w:bCs/>
          <w:color w:val="000000" w:themeColor="text1"/>
        </w:rPr>
        <w:t xml:space="preserve">Ako se događanje održava nakon podnošenja Prijave i nakon donošenja zaključka o odabiru korisnika potpore, </w:t>
      </w:r>
      <w:r w:rsidR="00363F92" w:rsidRPr="00405736">
        <w:rPr>
          <w:rFonts w:ascii="Book Antiqua" w:hAnsi="Book Antiqua"/>
          <w:bCs/>
        </w:rPr>
        <w:t xml:space="preserve">korisnik će biti obvezan dostaviti dokaze o ispunjavanju uvjeta za pojedinu razinu na način utvrđen Ugovorom o dodjeli potpore. </w:t>
      </w:r>
    </w:p>
    <w:p w14:paraId="2588B273" w14:textId="7751FA3D" w:rsidR="00140C6E" w:rsidRPr="0099641C" w:rsidRDefault="00363F92" w:rsidP="002631D0">
      <w:pPr>
        <w:pStyle w:val="ListParagraph"/>
        <w:jc w:val="both"/>
        <w:rPr>
          <w:rFonts w:ascii="Book Antiqua" w:hAnsi="Book Antiqua"/>
          <w:bCs/>
        </w:rPr>
      </w:pPr>
      <w:r w:rsidRPr="00405736">
        <w:rPr>
          <w:rFonts w:ascii="Book Antiqua" w:hAnsi="Book Antiqua"/>
          <w:bCs/>
        </w:rPr>
        <w:t xml:space="preserve">Broj posjetitelja predstavlja uvjet za pojedinu razinu događanja te se boduje, a na temelju toga se dodjeljuje državna potpora, stoga prilikom podnošenja Prijave treba voditi </w:t>
      </w:r>
      <w:r w:rsidRPr="008918E2">
        <w:rPr>
          <w:rFonts w:ascii="Book Antiqua" w:hAnsi="Book Antiqua"/>
          <w:bCs/>
        </w:rPr>
        <w:t>računa</w:t>
      </w:r>
      <w:r w:rsidR="00BB13F3" w:rsidRPr="008918E2">
        <w:rPr>
          <w:rFonts w:ascii="Book Antiqua" w:hAnsi="Book Antiqua" w:cstheme="minorHAnsi"/>
          <w:bCs/>
          <w:kern w:val="0"/>
          <w14:ligatures w14:val="none"/>
        </w:rPr>
        <w:t xml:space="preserve"> </w:t>
      </w:r>
      <w:r w:rsidR="00BB13F3" w:rsidRPr="008918E2">
        <w:rPr>
          <w:rFonts w:ascii="Book Antiqua" w:hAnsi="Book Antiqua"/>
          <w:bCs/>
        </w:rPr>
        <w:t xml:space="preserve">o što realnijoj procjeni broj posjetitelja (i broja prodanih </w:t>
      </w:r>
      <w:r w:rsidR="00FC2EBA" w:rsidRPr="008918E2">
        <w:rPr>
          <w:rFonts w:ascii="Book Antiqua" w:hAnsi="Book Antiqua"/>
          <w:bCs/>
        </w:rPr>
        <w:t>karata/</w:t>
      </w:r>
      <w:r w:rsidR="00BB13F3" w:rsidRPr="008918E2">
        <w:rPr>
          <w:rFonts w:ascii="Book Antiqua" w:hAnsi="Book Antiqua"/>
          <w:bCs/>
        </w:rPr>
        <w:t xml:space="preserve">ulaznica po tržišnoj </w:t>
      </w:r>
      <w:r w:rsidR="00BB13F3" w:rsidRPr="008918E2">
        <w:rPr>
          <w:rFonts w:ascii="Book Antiqua" w:hAnsi="Book Antiqua"/>
          <w:bCs/>
          <w:color w:val="000000" w:themeColor="text1"/>
        </w:rPr>
        <w:t>cijeni).</w:t>
      </w:r>
      <w:r w:rsidR="002631D0" w:rsidRPr="008918E2">
        <w:rPr>
          <w:rFonts w:ascii="Book Antiqua" w:hAnsi="Book Antiqua"/>
          <w:bCs/>
          <w:color w:val="000000" w:themeColor="text1"/>
        </w:rPr>
        <w:t xml:space="preserve"> </w:t>
      </w:r>
      <w:r w:rsidR="00BB13F3" w:rsidRPr="008918E2">
        <w:rPr>
          <w:rFonts w:ascii="Book Antiqua" w:hAnsi="Book Antiqua"/>
          <w:color w:val="000000" w:themeColor="text1"/>
        </w:rPr>
        <w:t xml:space="preserve">U slučaju da broj posjetitelja koji je naveden u prijavi za određenu razinu događanja nije moguće dokazati na način utvrđen Javnim pozivom ili odstupa u toj mjeri da ne udovoljava uvjetima za razinu za koju je odobrena potpora, imat će za posljedicu </w:t>
      </w:r>
      <w:r w:rsidR="00FC2EBA" w:rsidRPr="008918E2">
        <w:rPr>
          <w:rFonts w:ascii="Book Antiqua" w:hAnsi="Book Antiqua"/>
          <w:color w:val="000000" w:themeColor="text1"/>
        </w:rPr>
        <w:t xml:space="preserve">raskidanje ugovora i </w:t>
      </w:r>
      <w:r w:rsidR="00BB13F3" w:rsidRPr="008918E2">
        <w:rPr>
          <w:rFonts w:ascii="Book Antiqua" w:hAnsi="Book Antiqua"/>
          <w:color w:val="000000" w:themeColor="text1"/>
        </w:rPr>
        <w:t>vraćanje dijela ili cijele potpore</w:t>
      </w:r>
      <w:r w:rsidR="00D14FFB">
        <w:rPr>
          <w:rFonts w:ascii="Book Antiqua" w:hAnsi="Book Antiqua"/>
          <w:color w:val="000000" w:themeColor="text1"/>
        </w:rPr>
        <w:t xml:space="preserve"> </w:t>
      </w:r>
      <w:r w:rsidR="00D14FFB" w:rsidRPr="0099641C">
        <w:rPr>
          <w:rFonts w:ascii="Book Antiqua" w:hAnsi="Book Antiqua"/>
        </w:rPr>
        <w:t>stoga je potrebno voditi računa da se prijava podnese za onu razinu događanja za koju će se moći dokazati ispunjenje uvjeta.</w:t>
      </w:r>
    </w:p>
    <w:p w14:paraId="6B260695" w14:textId="77777777" w:rsidR="002631D0" w:rsidRPr="00D14FFB" w:rsidRDefault="002631D0" w:rsidP="00140C6E">
      <w:pPr>
        <w:pStyle w:val="ListParagraph"/>
        <w:jc w:val="both"/>
        <w:rPr>
          <w:rFonts w:ascii="Book Antiqua" w:hAnsi="Book Antiqua"/>
          <w:color w:val="FF0000"/>
        </w:rPr>
      </w:pPr>
    </w:p>
    <w:p w14:paraId="358C03D5" w14:textId="0020442A" w:rsidR="002631D0" w:rsidRPr="00405736" w:rsidRDefault="002631D0" w:rsidP="002631D0">
      <w:pPr>
        <w:pStyle w:val="ListParagraph"/>
        <w:numPr>
          <w:ilvl w:val="0"/>
          <w:numId w:val="1"/>
        </w:numPr>
        <w:jc w:val="both"/>
        <w:rPr>
          <w:rFonts w:ascii="Book Antiqua" w:hAnsi="Book Antiqua"/>
          <w:b/>
          <w:bCs/>
        </w:rPr>
      </w:pPr>
      <w:r w:rsidRPr="008918E2">
        <w:rPr>
          <w:rFonts w:ascii="Book Antiqua" w:hAnsi="Book Antiqua"/>
          <w:b/>
          <w:bCs/>
          <w:color w:val="000000" w:themeColor="text1"/>
        </w:rPr>
        <w:t xml:space="preserve">Za razliku od dosadašnjih kriterija, uočavamo da se u novim </w:t>
      </w:r>
      <w:r w:rsidRPr="00405736">
        <w:rPr>
          <w:rFonts w:ascii="Book Antiqua" w:hAnsi="Book Antiqua"/>
          <w:b/>
          <w:bCs/>
        </w:rPr>
        <w:t>kriterijima kao uvjet pojavljuje kriterij prodaje ulaznica. Ukoliko je to zaista kriteriji za "eliminaciju prijave", smatramo da se radi o diskriminaciji drugih oblika financiranja kulturnih događaja, a naravno da se pogoduje samo jednoj grupaciji organizatora. Osim pogodovanja jednoj grupaciji organizatora, nismo sigurni je li ovakav način diskriminacije i zakonski. Molimo službeno pojašnjenje kriterija jesu li prodane ulaznice jedna od stavki bez koje nismo ni u poziciji mogućnosti prijave?</w:t>
      </w:r>
    </w:p>
    <w:p w14:paraId="5AEB92AA" w14:textId="7760555A" w:rsidR="002631D0" w:rsidRPr="00405736" w:rsidRDefault="00FC2EBA" w:rsidP="002631D0">
      <w:pPr>
        <w:pStyle w:val="ListParagraph"/>
        <w:jc w:val="both"/>
        <w:rPr>
          <w:rFonts w:ascii="Book Antiqua" w:hAnsi="Book Antiqua"/>
        </w:rPr>
      </w:pPr>
      <w:r w:rsidRPr="00FC2EBA">
        <w:rPr>
          <w:rFonts w:ascii="Book Antiqua" w:hAnsi="Book Antiqua"/>
        </w:rPr>
        <w:t>Točkom</w:t>
      </w:r>
      <w:r w:rsidR="009E0C95" w:rsidRPr="00FC2EBA">
        <w:rPr>
          <w:rFonts w:ascii="Book Antiqua" w:hAnsi="Book Antiqua"/>
        </w:rPr>
        <w:t xml:space="preserve"> 4. Javnog poziva, definirani su uvjeti za pojedinu razinu događanja. Jedan od uvjeta je i broj posjetitelja, pri čemu se broj posjetitelja</w:t>
      </w:r>
      <w:r w:rsidR="007B1472" w:rsidRPr="00FC2EBA">
        <w:rPr>
          <w:rFonts w:ascii="Book Antiqua" w:hAnsi="Book Antiqua"/>
        </w:rPr>
        <w:t xml:space="preserve"> računa na temelju broja prodanih </w:t>
      </w:r>
      <w:r w:rsidRPr="00FC2EBA">
        <w:rPr>
          <w:rFonts w:ascii="Book Antiqua" w:hAnsi="Book Antiqua"/>
        </w:rPr>
        <w:t>karata/</w:t>
      </w:r>
      <w:r w:rsidR="007B1472" w:rsidRPr="00FC2EBA">
        <w:rPr>
          <w:rFonts w:ascii="Book Antiqua" w:hAnsi="Book Antiqua"/>
        </w:rPr>
        <w:t>ulaznica, od čega 75% prodanih ulaznica mora biti prodano po tržišnoj cijeni.</w:t>
      </w:r>
      <w:r w:rsidR="007B1472" w:rsidRPr="00405736">
        <w:rPr>
          <w:rFonts w:ascii="Book Antiqua" w:hAnsi="Book Antiqua"/>
        </w:rPr>
        <w:t xml:space="preserve"> </w:t>
      </w:r>
    </w:p>
    <w:p w14:paraId="2C566B62" w14:textId="77777777" w:rsidR="0015716A" w:rsidRPr="00405736" w:rsidRDefault="0015716A" w:rsidP="002631D0">
      <w:pPr>
        <w:pStyle w:val="ListParagraph"/>
        <w:jc w:val="both"/>
        <w:rPr>
          <w:rFonts w:ascii="Book Antiqua" w:hAnsi="Book Antiqua"/>
        </w:rPr>
      </w:pPr>
    </w:p>
    <w:p w14:paraId="3B543CA7" w14:textId="77777777" w:rsidR="003875C3" w:rsidRDefault="0015716A" w:rsidP="003875C3">
      <w:pPr>
        <w:pStyle w:val="ListParagraph"/>
        <w:numPr>
          <w:ilvl w:val="0"/>
          <w:numId w:val="1"/>
        </w:numPr>
        <w:jc w:val="both"/>
        <w:rPr>
          <w:rFonts w:ascii="Book Antiqua" w:hAnsi="Book Antiqua"/>
          <w:b/>
          <w:bCs/>
        </w:rPr>
      </w:pPr>
      <w:r w:rsidRPr="00405736">
        <w:rPr>
          <w:rFonts w:ascii="Book Antiqua" w:hAnsi="Book Antiqua"/>
          <w:b/>
          <w:bCs/>
        </w:rPr>
        <w:t>Molimo pojašnjenje - Kolika je tipična dobit za dotični sektor. Radi li se</w:t>
      </w:r>
      <w:r w:rsidRPr="00405736">
        <w:rPr>
          <w:rFonts w:ascii="Book Antiqua" w:hAnsi="Book Antiqua"/>
          <w:b/>
          <w:bCs/>
        </w:rPr>
        <w:br/>
        <w:t>ovdje o stopi od 10%. Znači li to da (prihodi minus rashodi)/prihodi ne smiju biti veći  od 10%.</w:t>
      </w:r>
    </w:p>
    <w:p w14:paraId="15413335" w14:textId="7D9B4B39" w:rsidR="00405736" w:rsidRPr="003875C3" w:rsidRDefault="00405736" w:rsidP="003875C3">
      <w:pPr>
        <w:pStyle w:val="ListParagraph"/>
        <w:jc w:val="both"/>
        <w:rPr>
          <w:rFonts w:ascii="Book Antiqua" w:hAnsi="Book Antiqua"/>
          <w:b/>
          <w:bCs/>
        </w:rPr>
      </w:pPr>
      <w:r w:rsidRPr="003875C3">
        <w:rPr>
          <w:rFonts w:ascii="Book Antiqua" w:eastAsia="Arial" w:hAnsi="Book Antiqua" w:cs="Times New Roman"/>
          <w:bCs/>
          <w:spacing w:val="-2"/>
        </w:rPr>
        <w:lastRenderedPageBreak/>
        <w:t>Opravdana dobit određuje se u skladu s uobičajenom dobiti za dotični sektor. Opravdanom dobiti će se smatrati stopa povrata kapitala koja ne premašuje odgovarajuću zamjensku stopu uvećanu za premiju od 100 osnovnih bodova.</w:t>
      </w:r>
      <w:r w:rsidRPr="003875C3">
        <w:rPr>
          <w:rFonts w:ascii="Times New Roman" w:eastAsia="Times New Roman" w:hAnsi="Times New Roman" w:cs="Times New Roman"/>
          <w:kern w:val="0"/>
          <w:lang w:eastAsia="hr-HR"/>
          <w14:ligatures w14:val="none"/>
        </w:rPr>
        <w:t xml:space="preserve"> </w:t>
      </w:r>
      <w:r w:rsidRPr="003875C3">
        <w:rPr>
          <w:rFonts w:ascii="Times New Roman" w:eastAsia="Times New Roman" w:hAnsi="Times New Roman" w:cs="Times New Roman"/>
          <w:lang w:eastAsia="hr-HR"/>
        </w:rPr>
        <w:t>Z</w:t>
      </w:r>
      <w:r w:rsidRPr="003875C3">
        <w:rPr>
          <w:rFonts w:ascii="Book Antiqua" w:eastAsia="Arial" w:hAnsi="Book Antiqua" w:cs="Times New Roman"/>
          <w:bCs/>
          <w:spacing w:val="-2"/>
          <w:kern w:val="0"/>
          <w14:ligatures w14:val="none"/>
        </w:rPr>
        <w:t>amjenska stopa objavljuje se za svako razdoblje od šest mjesecu na stranicama Europske komisije (</w:t>
      </w:r>
      <w:r w:rsidRPr="003875C3">
        <w:rPr>
          <w:rFonts w:ascii="Book Antiqua" w:eastAsia="Arial" w:hAnsi="Book Antiqua" w:cs="Times New Roman"/>
          <w:bCs/>
          <w:i/>
          <w:iCs/>
          <w:spacing w:val="-2"/>
          <w:kern w:val="0"/>
          <w14:ligatures w14:val="none"/>
        </w:rPr>
        <w:t>Directorate-General for Compeition</w:t>
      </w:r>
      <w:r w:rsidRPr="003875C3">
        <w:rPr>
          <w:rFonts w:ascii="Book Antiqua" w:eastAsia="Arial" w:hAnsi="Book Antiqua" w:cs="Times New Roman"/>
          <w:bCs/>
          <w:spacing w:val="-2"/>
          <w:kern w:val="0"/>
          <w14:ligatures w14:val="none"/>
        </w:rPr>
        <w:t>)</w:t>
      </w:r>
      <w:r w:rsidRPr="00405736">
        <w:rPr>
          <w:kern w:val="0"/>
          <w:vertAlign w:val="superscript"/>
          <w14:ligatures w14:val="none"/>
        </w:rPr>
        <w:footnoteReference w:id="1"/>
      </w:r>
      <w:r w:rsidR="00F43D77">
        <w:rPr>
          <w:rFonts w:ascii="Book Antiqua" w:eastAsia="Arial" w:hAnsi="Book Antiqua" w:cs="Times New Roman"/>
          <w:bCs/>
          <w:spacing w:val="-2"/>
          <w:kern w:val="0"/>
          <w14:ligatures w14:val="none"/>
        </w:rPr>
        <w:t>.</w:t>
      </w:r>
      <w:r w:rsidRPr="003875C3">
        <w:rPr>
          <w:rFonts w:ascii="Book Antiqua" w:eastAsia="Arial" w:hAnsi="Book Antiqua" w:cs="Times New Roman"/>
          <w:bCs/>
          <w:spacing w:val="-2"/>
          <w:kern w:val="0"/>
          <w14:ligatures w14:val="none"/>
        </w:rPr>
        <w:t xml:space="preserve"> </w:t>
      </w:r>
    </w:p>
    <w:p w14:paraId="32A1FD60" w14:textId="77777777" w:rsidR="00405736" w:rsidRPr="00405736" w:rsidRDefault="00405736" w:rsidP="00405736">
      <w:pPr>
        <w:pStyle w:val="ListParagraph"/>
        <w:jc w:val="both"/>
        <w:rPr>
          <w:rFonts w:ascii="Book Antiqua" w:hAnsi="Book Antiqua"/>
          <w:b/>
          <w:bCs/>
        </w:rPr>
      </w:pPr>
    </w:p>
    <w:p w14:paraId="16FC3E23" w14:textId="65E88CDE" w:rsidR="0015716A" w:rsidRPr="00405736" w:rsidRDefault="0015716A" w:rsidP="0015716A">
      <w:pPr>
        <w:pStyle w:val="ListParagraph"/>
        <w:numPr>
          <w:ilvl w:val="0"/>
          <w:numId w:val="1"/>
        </w:numPr>
        <w:jc w:val="both"/>
        <w:rPr>
          <w:rFonts w:ascii="Book Antiqua" w:hAnsi="Book Antiqua"/>
          <w:b/>
          <w:bCs/>
        </w:rPr>
      </w:pPr>
      <w:r w:rsidRPr="00405736">
        <w:rPr>
          <w:rFonts w:ascii="Book Antiqua" w:hAnsi="Book Antiqua"/>
          <w:b/>
          <w:bCs/>
        </w:rPr>
        <w:t>Jesu li kao u prethodnoj verziji uvjeta za dodjelu potpore definirana ograničenja i nominalno – dakle da iznos dobiti ne smije biti veći od 10% traženih bespovratnih sredstava?</w:t>
      </w:r>
    </w:p>
    <w:p w14:paraId="566287B7" w14:textId="05750282" w:rsidR="00F43D77" w:rsidRPr="00F43D77" w:rsidRDefault="00F43D77" w:rsidP="00F43D77">
      <w:pPr>
        <w:pStyle w:val="ListParagraph"/>
        <w:jc w:val="both"/>
        <w:rPr>
          <w:rFonts w:ascii="Book Antiqua" w:hAnsi="Book Antiqua"/>
          <w:bCs/>
        </w:rPr>
      </w:pPr>
      <w:r w:rsidRPr="00F43D77">
        <w:rPr>
          <w:rFonts w:ascii="Book Antiqua" w:hAnsi="Book Antiqua"/>
          <w:bCs/>
        </w:rPr>
        <w:t>Opravdana dobit određuje se u skladu s uobičajenom dobiti za dotični sektor. Opravdanom dobiti će se smatrati stopa povrata kapitala koja ne premašuje odgovarajuću zamjensku stopu uvećanu za premiju od 100 osnovnih bodova. Zamjenska stopa objavljuje se za svako razdoblje od šest mjesecu na stranicama Europske komisije (</w:t>
      </w:r>
      <w:r w:rsidRPr="00F43D77">
        <w:rPr>
          <w:rFonts w:ascii="Book Antiqua" w:hAnsi="Book Antiqua"/>
          <w:bCs/>
          <w:i/>
          <w:iCs/>
        </w:rPr>
        <w:t>Directorate-General for Compeition</w:t>
      </w:r>
      <w:r w:rsidRPr="00F43D77">
        <w:rPr>
          <w:rFonts w:ascii="Book Antiqua" w:hAnsi="Book Antiqua"/>
          <w:bCs/>
        </w:rPr>
        <w:t>)</w:t>
      </w:r>
      <w:r w:rsidRPr="00F43D77">
        <w:rPr>
          <w:rFonts w:ascii="Book Antiqua" w:hAnsi="Book Antiqua"/>
          <w:bCs/>
          <w:vertAlign w:val="superscript"/>
        </w:rPr>
        <w:footnoteReference w:id="2"/>
      </w:r>
      <w:r w:rsidRPr="00F43D77">
        <w:rPr>
          <w:rFonts w:ascii="Book Antiqua" w:hAnsi="Book Antiqua"/>
          <w:bCs/>
        </w:rPr>
        <w:t xml:space="preserve">. </w:t>
      </w:r>
      <w:r w:rsidR="00CB5BAB">
        <w:rPr>
          <w:rFonts w:ascii="Book Antiqua" w:hAnsi="Book Antiqua"/>
          <w:bCs/>
        </w:rPr>
        <w:t>Javnim pozivom iz 2025. godine nije propisano da dobit ne smije biti veća od 10%, već se računa na prethodno objašnjen način.</w:t>
      </w:r>
    </w:p>
    <w:p w14:paraId="69C100F7" w14:textId="77777777" w:rsidR="003875C3" w:rsidRPr="00405736" w:rsidRDefault="003875C3" w:rsidP="0015716A">
      <w:pPr>
        <w:pStyle w:val="ListParagraph"/>
        <w:jc w:val="both"/>
        <w:rPr>
          <w:rFonts w:ascii="Book Antiqua" w:hAnsi="Book Antiqua"/>
          <w:bCs/>
        </w:rPr>
      </w:pPr>
    </w:p>
    <w:p w14:paraId="2EAB8DC5" w14:textId="10E4A562" w:rsidR="0015716A" w:rsidRPr="00405736" w:rsidRDefault="0015716A" w:rsidP="0015716A">
      <w:pPr>
        <w:pStyle w:val="ListParagraph"/>
        <w:numPr>
          <w:ilvl w:val="0"/>
          <w:numId w:val="1"/>
        </w:numPr>
        <w:jc w:val="both"/>
        <w:rPr>
          <w:rFonts w:ascii="Book Antiqua" w:hAnsi="Book Antiqua"/>
          <w:b/>
          <w:bCs/>
        </w:rPr>
      </w:pPr>
      <w:r w:rsidRPr="00405736">
        <w:rPr>
          <w:rFonts w:ascii="Book Antiqua" w:hAnsi="Book Antiqua"/>
          <w:b/>
          <w:bCs/>
        </w:rPr>
        <w:t>Obzirom se spominje riječ „operativno“ – ulazi li u</w:t>
      </w:r>
      <w:r w:rsidRPr="00405736">
        <w:rPr>
          <w:rFonts w:ascii="Book Antiqua" w:hAnsi="Book Antiqua"/>
          <w:b/>
          <w:bCs/>
        </w:rPr>
        <w:br/>
        <w:t>izračun prihod od sponzorstva i donacija ili se ti prohodi ne smatraju</w:t>
      </w:r>
      <w:r w:rsidRPr="00405736">
        <w:rPr>
          <w:rFonts w:ascii="Book Antiqua" w:hAnsi="Book Antiqua"/>
          <w:b/>
          <w:bCs/>
        </w:rPr>
        <w:br/>
        <w:t>dobiti odn</w:t>
      </w:r>
      <w:r w:rsidR="00B2173B" w:rsidRPr="00405736">
        <w:rPr>
          <w:rFonts w:ascii="Book Antiqua" w:hAnsi="Book Antiqua"/>
          <w:b/>
          <w:bCs/>
        </w:rPr>
        <w:t>osno</w:t>
      </w:r>
      <w:r w:rsidRPr="00405736">
        <w:rPr>
          <w:rFonts w:ascii="Book Antiqua" w:hAnsi="Book Antiqua"/>
          <w:b/>
          <w:bCs/>
        </w:rPr>
        <w:t xml:space="preserve"> ako se radi o donacijama u naravi utječu li one na izračun?</w:t>
      </w:r>
    </w:p>
    <w:p w14:paraId="67ACD25D" w14:textId="2C4EE36A" w:rsidR="0015716A" w:rsidRDefault="003875C3" w:rsidP="0015716A">
      <w:pPr>
        <w:pStyle w:val="ListParagraph"/>
        <w:jc w:val="both"/>
        <w:rPr>
          <w:rFonts w:ascii="Book Antiqua" w:hAnsi="Book Antiqua"/>
          <w:bCs/>
        </w:rPr>
      </w:pPr>
      <w:r w:rsidRPr="00F43D77">
        <w:rPr>
          <w:rFonts w:ascii="Book Antiqua" w:hAnsi="Book Antiqua"/>
          <w:bCs/>
        </w:rPr>
        <w:t>Prihod od sponzorstva i donacija treba biti naveden u Prijavi i dokazan propisanim dokazima te ulazi u izračun ukupnog troška prijavljenog događanja na strani prihoda.</w:t>
      </w:r>
    </w:p>
    <w:p w14:paraId="6977319F" w14:textId="77777777" w:rsidR="003875C3" w:rsidRPr="003875C3" w:rsidRDefault="003875C3" w:rsidP="0015716A">
      <w:pPr>
        <w:pStyle w:val="ListParagraph"/>
        <w:jc w:val="both"/>
        <w:rPr>
          <w:rFonts w:ascii="Book Antiqua" w:hAnsi="Book Antiqua"/>
          <w:bCs/>
        </w:rPr>
      </w:pPr>
    </w:p>
    <w:p w14:paraId="54A47FE4" w14:textId="77777777" w:rsidR="003875C3" w:rsidRDefault="0015716A" w:rsidP="003875C3">
      <w:pPr>
        <w:pStyle w:val="ListParagraph"/>
        <w:numPr>
          <w:ilvl w:val="0"/>
          <w:numId w:val="1"/>
        </w:numPr>
        <w:jc w:val="both"/>
        <w:rPr>
          <w:rFonts w:ascii="Book Antiqua" w:hAnsi="Book Antiqua"/>
          <w:b/>
          <w:bCs/>
        </w:rPr>
      </w:pPr>
      <w:r w:rsidRPr="00405736">
        <w:rPr>
          <w:rFonts w:ascii="Book Antiqua" w:hAnsi="Book Antiqua"/>
          <w:b/>
          <w:bCs/>
        </w:rPr>
        <w:t xml:space="preserve"> Radi dokazivanja prava na potporu možemo li u prijavi</w:t>
      </w:r>
      <w:r w:rsidRPr="00405736">
        <w:rPr>
          <w:rFonts w:ascii="Book Antiqua" w:hAnsi="Book Antiqua"/>
          <w:b/>
          <w:bCs/>
        </w:rPr>
        <w:br/>
        <w:t>dostaviti izračun kojim se dokazuje gore navedeno kako bi bili</w:t>
      </w:r>
      <w:r w:rsidRPr="00405736">
        <w:rPr>
          <w:rFonts w:ascii="Book Antiqua" w:hAnsi="Book Antiqua"/>
          <w:b/>
          <w:bCs/>
        </w:rPr>
        <w:br/>
        <w:t>zadovoljeni ex ante uvjeti za dodjelu potpore?</w:t>
      </w:r>
    </w:p>
    <w:p w14:paraId="3FF3D6F5" w14:textId="1E3DCC36" w:rsidR="003875C3" w:rsidRDefault="00F43D77" w:rsidP="003875C3">
      <w:pPr>
        <w:pStyle w:val="ListParagraph"/>
        <w:jc w:val="both"/>
        <w:rPr>
          <w:rFonts w:ascii="Book Antiqua" w:hAnsi="Book Antiqua"/>
          <w:bCs/>
        </w:rPr>
      </w:pPr>
      <w:r w:rsidRPr="00F43D77">
        <w:rPr>
          <w:rFonts w:ascii="Book Antiqua" w:hAnsi="Book Antiqua"/>
          <w:bCs/>
        </w:rPr>
        <w:t>U Prijavi možete dostaviti izračun.</w:t>
      </w:r>
      <w:r w:rsidR="003875C3">
        <w:rPr>
          <w:rFonts w:ascii="Book Antiqua" w:hAnsi="Book Antiqua"/>
          <w:bCs/>
        </w:rPr>
        <w:t xml:space="preserve"> </w:t>
      </w:r>
    </w:p>
    <w:p w14:paraId="070C8E6E" w14:textId="77777777" w:rsidR="001C4BAA" w:rsidRPr="00E03A63" w:rsidRDefault="0015716A" w:rsidP="001C4BAA">
      <w:pPr>
        <w:pStyle w:val="ListParagraph"/>
        <w:numPr>
          <w:ilvl w:val="0"/>
          <w:numId w:val="1"/>
        </w:numPr>
        <w:jc w:val="both"/>
        <w:rPr>
          <w:rFonts w:ascii="Book Antiqua" w:hAnsi="Book Antiqua"/>
          <w:b/>
          <w:bCs/>
        </w:rPr>
      </w:pPr>
      <w:r w:rsidRPr="003875C3">
        <w:rPr>
          <w:rFonts w:ascii="Book Antiqua" w:hAnsi="Book Antiqua"/>
          <w:b/>
          <w:bCs/>
        </w:rPr>
        <w:br/>
      </w:r>
      <w:r w:rsidR="001C4BAA" w:rsidRPr="00E03A63">
        <w:rPr>
          <w:rFonts w:ascii="Book Antiqua" w:hAnsi="Book Antiqua"/>
          <w:b/>
          <w:bCs/>
        </w:rPr>
        <w:t>S obzirom da u točki 5. Javnog poziva piše da se PDV koji se može vratiti u skladu s primjenjivim nacionalnim poreznim pravom ne uzima u obzir za izračun intenziteta potpore i prihvatljivih troškova, znači li to da je nepovrativ PDV za prijavitelje koji nisu u sustavu PDV-a prihvatljiv trošak, odnosno da se isti uzima u obzir za izračun intenziteta potpore i prihvatljivih troškova?</w:t>
      </w:r>
    </w:p>
    <w:p w14:paraId="07C0C8E3" w14:textId="77777777" w:rsidR="001C4BAA" w:rsidRDefault="001C4BAA" w:rsidP="001C4BAA">
      <w:pPr>
        <w:pStyle w:val="ListParagraph"/>
        <w:jc w:val="both"/>
        <w:rPr>
          <w:rFonts w:ascii="Book Antiqua" w:hAnsi="Book Antiqua"/>
        </w:rPr>
      </w:pPr>
      <w:r w:rsidRPr="00E03A63">
        <w:rPr>
          <w:rFonts w:ascii="Book Antiqua" w:hAnsi="Book Antiqua"/>
        </w:rPr>
        <w:t>Trošak PDVa smatrat će se prihvatljivim troškom ukoliko prijavitelj nije u sustavu PDVa ili ako, sukladno zakonskim propisima, ne može zatražiti povrat PDV.</w:t>
      </w:r>
    </w:p>
    <w:p w14:paraId="09E7656A" w14:textId="77777777" w:rsidR="001C4BAA" w:rsidRPr="00E03A63" w:rsidRDefault="001C4BAA" w:rsidP="001C4BAA">
      <w:pPr>
        <w:pStyle w:val="ListParagraph"/>
        <w:jc w:val="both"/>
        <w:rPr>
          <w:rFonts w:ascii="Book Antiqua" w:hAnsi="Book Antiqua"/>
        </w:rPr>
      </w:pPr>
    </w:p>
    <w:p w14:paraId="0D2A48C9" w14:textId="77777777" w:rsidR="001C4BAA" w:rsidRPr="00E03A63" w:rsidRDefault="001C4BAA" w:rsidP="001C4BAA">
      <w:pPr>
        <w:pStyle w:val="ListParagraph"/>
        <w:numPr>
          <w:ilvl w:val="0"/>
          <w:numId w:val="1"/>
        </w:numPr>
        <w:jc w:val="both"/>
        <w:rPr>
          <w:rFonts w:ascii="Book Antiqua" w:hAnsi="Book Antiqua"/>
          <w:b/>
          <w:bCs/>
        </w:rPr>
      </w:pPr>
      <w:r w:rsidRPr="00E03A63">
        <w:rPr>
          <w:rFonts w:ascii="Book Antiqua" w:hAnsi="Book Antiqua"/>
          <w:b/>
          <w:bCs/>
        </w:rPr>
        <w:t>Boduje li se dodatno zastupljenost izvođača/izlagača iz inozemstva veća od 15% za događanja druge razine? U Prilogu 1 – Kriteriji vidimo da se zastupljenost inozemnih izvođača boduje u okviru kriterija Sadržaj i kvaliteta događanja, ali nema razrade unutar bodovnog kriterija pa Vas molimo za pojašnjenje.</w:t>
      </w:r>
    </w:p>
    <w:p w14:paraId="2A37001E" w14:textId="77777777" w:rsidR="001C4BAA" w:rsidRPr="00E03A63" w:rsidRDefault="001C4BAA" w:rsidP="001C4BAA">
      <w:pPr>
        <w:pStyle w:val="ListParagraph"/>
        <w:jc w:val="both"/>
        <w:rPr>
          <w:rFonts w:ascii="Book Antiqua" w:hAnsi="Book Antiqua"/>
        </w:rPr>
      </w:pPr>
      <w:r w:rsidRPr="00E03A63">
        <w:rPr>
          <w:rFonts w:ascii="Book Antiqua" w:hAnsi="Book Antiqua"/>
        </w:rPr>
        <w:t xml:space="preserve">Točkom 4. Javnog poziva, definirani su uvjeti za pojedinu razinu događanja. Jedan od uvjeta je da događanje uključuje izvođače/izlagače iz inozemstva te izvođače/izlagače iz Hrvatske i to najmanje 40% izvođača/izlagača iz inozemstva za prvu razinu događanja, te najmanje 15% izvođača/izlagača iz inozemstva za drugu razinu događanja. </w:t>
      </w:r>
    </w:p>
    <w:p w14:paraId="1B0C421D" w14:textId="77777777" w:rsidR="001C4BAA" w:rsidRPr="00E03A63" w:rsidRDefault="001C4BAA" w:rsidP="001C4BAA">
      <w:pPr>
        <w:pStyle w:val="ListParagraph"/>
        <w:jc w:val="both"/>
        <w:rPr>
          <w:rFonts w:ascii="Book Antiqua" w:hAnsi="Book Antiqua"/>
          <w:bCs/>
        </w:rPr>
      </w:pPr>
      <w:bookmarkStart w:id="0" w:name="_Hlk198021319"/>
      <w:r w:rsidRPr="00E03A63">
        <w:rPr>
          <w:rFonts w:ascii="Book Antiqua" w:hAnsi="Book Antiqua"/>
          <w:bCs/>
        </w:rPr>
        <w:t xml:space="preserve">U Prilogu 1. Kriteriji za bodovanje, pod kriterijem I. Sadržaj i kvaliteta događanja, boduje se Kvaliteta i raznolikost programskog sadržaja što između ostalog uključuje i zastupljenost inozemnih izvođača/izlagača. Za navedeni kriterij svaki član Povjerenstva za dodjelu državnih potpora za kulturna događanja na području Grada Zagreba može dati maksimalno 35 bodova. Ukoliko zastupljenost izvođača/izlagača iz inozemstva bude veća od minimalno propisanog uvjeta za pojedinu razinu događanja, biti će vrednovana u sklopu navedenog kriterija. </w:t>
      </w:r>
    </w:p>
    <w:bookmarkEnd w:id="0"/>
    <w:p w14:paraId="40510364" w14:textId="77777777" w:rsidR="001C4BAA" w:rsidRPr="00E03A63" w:rsidRDefault="001C4BAA" w:rsidP="001C4BAA">
      <w:pPr>
        <w:pStyle w:val="ListParagraph"/>
        <w:jc w:val="both"/>
        <w:rPr>
          <w:rFonts w:ascii="Book Antiqua" w:hAnsi="Book Antiqua"/>
        </w:rPr>
      </w:pPr>
      <w:r w:rsidRPr="00E03A63">
        <w:rPr>
          <w:rFonts w:ascii="Book Antiqua" w:hAnsi="Book Antiqua"/>
        </w:rPr>
        <w:t xml:space="preserve"> </w:t>
      </w:r>
    </w:p>
    <w:p w14:paraId="7EFBD749" w14:textId="77777777" w:rsidR="001C4BAA" w:rsidRPr="00E03A63" w:rsidRDefault="001C4BAA" w:rsidP="001C4BAA">
      <w:pPr>
        <w:pStyle w:val="ListParagraph"/>
        <w:numPr>
          <w:ilvl w:val="0"/>
          <w:numId w:val="1"/>
        </w:numPr>
        <w:jc w:val="both"/>
        <w:rPr>
          <w:rFonts w:ascii="Book Antiqua" w:hAnsi="Book Antiqua"/>
          <w:b/>
          <w:bCs/>
        </w:rPr>
      </w:pPr>
      <w:r w:rsidRPr="00E03A63">
        <w:rPr>
          <w:rFonts w:ascii="Book Antiqua" w:hAnsi="Book Antiqua"/>
          <w:b/>
          <w:bCs/>
        </w:rPr>
        <w:t>U odgovoru na pitanje broj 5 u dokumentu Najčešće postavljena pitanja navedeno je: „Broj posjetitelja predstavlja uvjet za pojedinu razinu događanja te se boduje…“. U Prilogu 1 – Kriteriji nije vidljivo da se broj posjetitelja vrednuje i u jednom kriteriju pa Vas ljubazno molimo za pojašnjenje.</w:t>
      </w:r>
    </w:p>
    <w:p w14:paraId="1E7F020F" w14:textId="77777777" w:rsidR="001C4BAA" w:rsidRPr="00E03A63" w:rsidRDefault="001C4BAA" w:rsidP="001C4BAA">
      <w:pPr>
        <w:pStyle w:val="ListParagraph"/>
        <w:jc w:val="both"/>
        <w:rPr>
          <w:rFonts w:ascii="Book Antiqua" w:hAnsi="Book Antiqua"/>
        </w:rPr>
      </w:pPr>
      <w:r w:rsidRPr="00E03A63">
        <w:rPr>
          <w:rFonts w:ascii="Book Antiqua" w:hAnsi="Book Antiqua"/>
        </w:rPr>
        <w:t>Broj posjetitelja predstavlja jedan od uvjeta za pojedinu razinu događanja na temelju čega se boduje Prijava na Javni poziv i dodjeljuje državna potpora.</w:t>
      </w:r>
      <w:r w:rsidRPr="00E03A63">
        <w:t xml:space="preserve"> </w:t>
      </w:r>
      <w:r w:rsidRPr="00E03A63">
        <w:rPr>
          <w:rFonts w:ascii="Book Antiqua" w:hAnsi="Book Antiqua"/>
        </w:rPr>
        <w:t>Prilikom podnošenja Prijave, u slučaju kada prijavljeno događanja još nije održano, potrebno je voditi računa o što realnijoj procjeni broj posjetitelja (i broja prodanih karata/ulaznica po tržišnoj cijeni)</w:t>
      </w:r>
      <w:r w:rsidRPr="00E03A63">
        <w:t xml:space="preserve"> </w:t>
      </w:r>
      <w:r w:rsidRPr="00E03A63">
        <w:rPr>
          <w:rFonts w:ascii="Book Antiqua" w:hAnsi="Book Antiqua"/>
        </w:rPr>
        <w:t>obzirom da se nakon održanog događanja davatelju potpore dostavlja izvješće o provedbi događanja, u kojem se, između ostalog, mora dokazati i stvarni broj posjetitelja. U slučaju da broj posjetitelja koji je naveden u prijavi za određenu razinu događanja odstupa u toj mjeri da ne udovoljava uvjetima za razinu za koju je odobrena potpora,</w:t>
      </w:r>
      <w:r w:rsidRPr="00E03A63">
        <w:t xml:space="preserve"> </w:t>
      </w:r>
      <w:r w:rsidRPr="00E03A63">
        <w:rPr>
          <w:rFonts w:ascii="Book Antiqua" w:hAnsi="Book Antiqua"/>
        </w:rPr>
        <w:t>imat će za posljedicu raskidanje ugovora i vraćanje dijela ili cijele potpore stoga je potrebno voditi računa da se prijava podnese za onu razinu događanja za koju će se moći dokazati ispunjenje uvjeta.</w:t>
      </w:r>
    </w:p>
    <w:p w14:paraId="097EBAB7" w14:textId="5E083E68" w:rsidR="001C4BAA" w:rsidRPr="00E03A63" w:rsidRDefault="001C4BAA" w:rsidP="001C4BAA">
      <w:pPr>
        <w:pStyle w:val="ListParagraph"/>
        <w:jc w:val="both"/>
        <w:rPr>
          <w:rFonts w:ascii="Book Antiqua" w:hAnsi="Book Antiqua"/>
          <w:bCs/>
        </w:rPr>
      </w:pPr>
      <w:r w:rsidRPr="00E03A63">
        <w:rPr>
          <w:rFonts w:ascii="Book Antiqua" w:hAnsi="Book Antiqua"/>
          <w:bCs/>
        </w:rPr>
        <w:t xml:space="preserve">U Prilogu 1. Kriteriji za bodovanje, pod kriterijem I. Sadržaj i kvaliteta događanja, boduje se Kvaliteta i raznolikost programskog sadržaja što između ostalog uključuje i zastupljenost inozemnih izvođača/izlagača. Za navedeni </w:t>
      </w:r>
      <w:r w:rsidRPr="00E03A63">
        <w:rPr>
          <w:rFonts w:ascii="Book Antiqua" w:hAnsi="Book Antiqua"/>
          <w:bCs/>
        </w:rPr>
        <w:lastRenderedPageBreak/>
        <w:t xml:space="preserve">kriterij svaki član Povjerenstva za dodjelu državnih potpora za kulturna događanja na području Grada Zagreba može dati maksimalno 35 bodova. </w:t>
      </w:r>
    </w:p>
    <w:p w14:paraId="5DCDB9F9" w14:textId="77777777" w:rsidR="001C4BAA" w:rsidRPr="00E03A63" w:rsidRDefault="001C4BAA" w:rsidP="001C4BAA">
      <w:pPr>
        <w:pStyle w:val="ListParagraph"/>
        <w:rPr>
          <w:rFonts w:ascii="Book Antiqua" w:hAnsi="Book Antiqua"/>
          <w:b/>
          <w:bCs/>
        </w:rPr>
      </w:pPr>
    </w:p>
    <w:p w14:paraId="386467D7" w14:textId="77777777" w:rsidR="001C4BAA" w:rsidRPr="00E03A63" w:rsidRDefault="001C4BAA" w:rsidP="001C4BAA">
      <w:pPr>
        <w:pStyle w:val="ListParagraph"/>
        <w:numPr>
          <w:ilvl w:val="0"/>
          <w:numId w:val="1"/>
        </w:numPr>
        <w:jc w:val="both"/>
        <w:rPr>
          <w:rFonts w:ascii="Book Antiqua" w:hAnsi="Book Antiqua"/>
          <w:b/>
          <w:bCs/>
        </w:rPr>
      </w:pPr>
      <w:r w:rsidRPr="00E03A63">
        <w:rPr>
          <w:rFonts w:ascii="Book Antiqua" w:hAnsi="Book Antiqua"/>
          <w:b/>
          <w:bCs/>
        </w:rPr>
        <w:t>Kako je navedeno u točki 7. Javnog poziva, prijava sa svom dokumentacijom mora biti uvezana u cjelinu s numeriranim stranicama. Trebaju li biti numerirani i dokumenti koji se predaju u originalu, a izdaju ih druge institucije (Potvrda Porezne uprave, BON-2, Izvadak iz Sudskog registra)?</w:t>
      </w:r>
    </w:p>
    <w:p w14:paraId="7EF06989" w14:textId="77777777" w:rsidR="001C4BAA" w:rsidRPr="00E03A63" w:rsidRDefault="001C4BAA" w:rsidP="001C4BAA">
      <w:pPr>
        <w:pStyle w:val="ListParagraph"/>
        <w:jc w:val="both"/>
        <w:rPr>
          <w:rFonts w:ascii="Book Antiqua" w:hAnsi="Book Antiqua"/>
        </w:rPr>
      </w:pPr>
      <w:r w:rsidRPr="00E03A63">
        <w:rPr>
          <w:rFonts w:ascii="Book Antiqua" w:hAnsi="Book Antiqua"/>
        </w:rPr>
        <w:t>Prijava sa svom popratnom dokumentacijom, uključujući i dokumentaciju koju izdaju druge institucije, te dokaze o ispunjavanju uvjeta za razinu događanja za koje se traži potpora i dokaze za o ispunjavanju svakog od kriterija iz Priloga 1. Javnog poziva,  mora biti uvezana u cjelinu s numeriranim stranicama, iz čega proizlazi da cjelokupna Prijava mora biti</w:t>
      </w:r>
      <w:r w:rsidRPr="00E03A63">
        <w:rPr>
          <w:rFonts w:ascii="Book Antiqua" w:hAnsi="Book Antiqua"/>
          <w:b/>
          <w:bCs/>
        </w:rPr>
        <w:t xml:space="preserve"> </w:t>
      </w:r>
      <w:r w:rsidRPr="00E03A63">
        <w:rPr>
          <w:rFonts w:ascii="Book Antiqua" w:hAnsi="Book Antiqua"/>
        </w:rPr>
        <w:t xml:space="preserve">numerirana na način da se na svakoj stranici napiše broj stranice/ukupan broj stranica cjelokupne Prijave (npr. </w:t>
      </w:r>
      <w:r>
        <w:rPr>
          <w:rFonts w:ascii="Book Antiqua" w:hAnsi="Book Antiqua"/>
        </w:rPr>
        <w:t>3/20</w:t>
      </w:r>
      <w:r w:rsidRPr="00E03A63">
        <w:rPr>
          <w:rFonts w:ascii="Book Antiqua" w:hAnsi="Book Antiqua"/>
        </w:rPr>
        <w:t>).</w:t>
      </w:r>
    </w:p>
    <w:p w14:paraId="680DA314" w14:textId="77777777" w:rsidR="001C4BAA" w:rsidRPr="00E03A63" w:rsidRDefault="001C4BAA" w:rsidP="001C4BAA">
      <w:pPr>
        <w:pStyle w:val="ListParagraph"/>
        <w:jc w:val="both"/>
        <w:rPr>
          <w:rFonts w:ascii="Book Antiqua" w:hAnsi="Book Antiqua"/>
          <w:b/>
          <w:bCs/>
        </w:rPr>
      </w:pPr>
    </w:p>
    <w:p w14:paraId="6E362F46" w14:textId="77777777" w:rsidR="001C4BAA" w:rsidRPr="00E03A63" w:rsidRDefault="001C4BAA" w:rsidP="001C4BAA">
      <w:pPr>
        <w:pStyle w:val="ListParagraph"/>
        <w:numPr>
          <w:ilvl w:val="0"/>
          <w:numId w:val="1"/>
        </w:numPr>
        <w:jc w:val="both"/>
        <w:rPr>
          <w:rFonts w:ascii="Book Antiqua" w:hAnsi="Book Antiqua"/>
          <w:b/>
          <w:bCs/>
        </w:rPr>
      </w:pPr>
      <w:r w:rsidRPr="00E03A63">
        <w:rPr>
          <w:rFonts w:ascii="Book Antiqua" w:hAnsi="Book Antiqua"/>
          <w:b/>
          <w:bCs/>
        </w:rPr>
        <w:t>Na koji se način u završnom izvješću, uz fotografije i medijske objave, dokazuje broj posjetitelja u slučaju da na događanje ne naplaćuje i ne postoje ulaznice, odnosno, osim procjene na temelju prethodnih godina, fotografija i medijskih napisa nemamo mehanizam kontrole posjetitelja koji bi dao precizan podatak?</w:t>
      </w:r>
    </w:p>
    <w:p w14:paraId="2FC077AF" w14:textId="77777777" w:rsidR="001C4BAA" w:rsidRPr="00E03A63" w:rsidRDefault="001C4BAA" w:rsidP="001C4BAA">
      <w:pPr>
        <w:pStyle w:val="ListParagraph"/>
        <w:jc w:val="both"/>
        <w:rPr>
          <w:rFonts w:ascii="Book Antiqua" w:hAnsi="Book Antiqua"/>
        </w:rPr>
      </w:pPr>
      <w:r w:rsidRPr="00E03A63">
        <w:rPr>
          <w:rFonts w:ascii="Book Antiqua" w:hAnsi="Book Antiqua"/>
        </w:rPr>
        <w:t xml:space="preserve">Točkom 4. Javnog poziva, definirani su uvjeti za pojedinu razinu događanja. Jedan od uvjeta je i broj posjetitelja, pri čemu se broj posjetitelja računa na temelju broja prodanih karata/ulaznica, od čega 75% prodanih ulaznica mora biti prodano po tržišnoj cijeni. </w:t>
      </w:r>
    </w:p>
    <w:p w14:paraId="05BC33BE" w14:textId="77777777" w:rsidR="001C4BAA" w:rsidRPr="00E03A63" w:rsidRDefault="001C4BAA" w:rsidP="001C4BAA">
      <w:pPr>
        <w:pStyle w:val="ListParagraph"/>
        <w:jc w:val="both"/>
        <w:rPr>
          <w:rFonts w:ascii="Book Antiqua" w:hAnsi="Book Antiqua"/>
        </w:rPr>
      </w:pPr>
      <w:r w:rsidRPr="00E03A63">
        <w:rPr>
          <w:rFonts w:ascii="Book Antiqua" w:hAnsi="Book Antiqua"/>
        </w:rPr>
        <w:t xml:space="preserve">U Izvješću o provedenom događanju i utrošenim sredstvima, broj posjetitelja moguće je dokazati izvješćem iz službenog sustava za izdavanje karata/ulaznica, dokazom o broju iskorištenih karata/ulaznica, bankovnim izvodom s računa na kojem su vidljive uplate u iznosima cijena ulaznica, knjigovodstvenim evidencijama iz kojih je vidljivo knjiženje prihoda od prodaje karata/ulaznica ili službenom pratećom kontrolom karata/ulaznica na ulazu na događanje. </w:t>
      </w:r>
    </w:p>
    <w:p w14:paraId="2019B839" w14:textId="77777777" w:rsidR="001C4BAA" w:rsidRPr="00E03A63" w:rsidRDefault="001C4BAA" w:rsidP="001C4BAA">
      <w:pPr>
        <w:pStyle w:val="ListParagraph"/>
        <w:jc w:val="both"/>
        <w:rPr>
          <w:rFonts w:ascii="Book Antiqua" w:hAnsi="Book Antiqua"/>
          <w:b/>
          <w:bCs/>
        </w:rPr>
      </w:pPr>
    </w:p>
    <w:p w14:paraId="15BD1F07" w14:textId="77777777" w:rsidR="001C4BAA" w:rsidRPr="00E03A63" w:rsidRDefault="001C4BAA" w:rsidP="001C4BAA">
      <w:pPr>
        <w:pStyle w:val="ListParagraph"/>
        <w:numPr>
          <w:ilvl w:val="0"/>
          <w:numId w:val="1"/>
        </w:numPr>
        <w:jc w:val="both"/>
        <w:rPr>
          <w:rFonts w:ascii="Book Antiqua" w:hAnsi="Book Antiqua"/>
          <w:b/>
          <w:bCs/>
        </w:rPr>
      </w:pPr>
      <w:r w:rsidRPr="00E03A63">
        <w:rPr>
          <w:rFonts w:ascii="Book Antiqua" w:hAnsi="Book Antiqua"/>
          <w:b/>
          <w:bCs/>
        </w:rPr>
        <w:t>Ljubazno molim informaciju treba li se obrazac prijave za Javni poziv za potporu kulturnih događanja ispuniti rukom ili mo</w:t>
      </w:r>
      <w:r>
        <w:rPr>
          <w:rFonts w:ascii="Book Antiqua" w:hAnsi="Book Antiqua"/>
          <w:b/>
          <w:bCs/>
        </w:rPr>
        <w:t>ž</w:t>
      </w:r>
      <w:r w:rsidRPr="00E03A63">
        <w:rPr>
          <w:rFonts w:ascii="Book Antiqua" w:hAnsi="Book Antiqua"/>
          <w:b/>
          <w:bCs/>
        </w:rPr>
        <w:t>e elektronski?</w:t>
      </w:r>
    </w:p>
    <w:p w14:paraId="135C0B7D" w14:textId="5E9E3EEB" w:rsidR="001C4BAA" w:rsidRPr="005A6C94" w:rsidRDefault="001C4BAA" w:rsidP="001C4BAA">
      <w:pPr>
        <w:pStyle w:val="ListParagraph"/>
        <w:jc w:val="both"/>
        <w:rPr>
          <w:rFonts w:ascii="Book Antiqua" w:hAnsi="Book Antiqua"/>
        </w:rPr>
      </w:pPr>
      <w:r w:rsidRPr="00E03A63">
        <w:rPr>
          <w:rFonts w:ascii="Book Antiqua" w:hAnsi="Book Antiqua"/>
        </w:rPr>
        <w:t xml:space="preserve">Prijavu na Javni poziv može se popuniti rukom ili elektronski,  pri čemu je bitno voditi računa da Prijava, sa svom popratnom dokumentacijom, mora biti potpisana i ovjerena od strane odgovorne osobe Prijavitelja, čitljiva i potpuna, sastavljena na hrvatskom jeziku i latiničnom pismu te uvezena u cjelinu s numeriranim stranicama, pri čemu svaka stranica mora biti označena na način </w:t>
      </w:r>
      <w:r w:rsidRPr="00E03A63">
        <w:rPr>
          <w:rFonts w:ascii="Book Antiqua" w:hAnsi="Book Antiqua"/>
          <w:i/>
          <w:iCs/>
        </w:rPr>
        <w:t>broj stranice/ukupan broj stranica</w:t>
      </w:r>
      <w:r w:rsidRPr="00E03A63">
        <w:rPr>
          <w:rFonts w:ascii="Book Antiqua" w:hAnsi="Book Antiqua"/>
        </w:rPr>
        <w:t xml:space="preserve"> (npr. 3/20).</w:t>
      </w:r>
    </w:p>
    <w:p w14:paraId="6E43AE8B" w14:textId="1F7174E5" w:rsidR="002A0EA4" w:rsidRDefault="002A0EA4" w:rsidP="002A0EA4">
      <w:pPr>
        <w:numPr>
          <w:ilvl w:val="0"/>
          <w:numId w:val="2"/>
        </w:numPr>
        <w:shd w:val="clear" w:color="auto" w:fill="FFFFFF"/>
        <w:spacing w:after="0" w:line="240" w:lineRule="auto"/>
        <w:rPr>
          <w:rFonts w:ascii="Aptos" w:hAnsi="Aptos" w:cs="Segoe UI"/>
          <w:color w:val="242424"/>
        </w:rPr>
      </w:pPr>
      <w:r>
        <w:rPr>
          <w:rFonts w:ascii="Aptos" w:hAnsi="Aptos" w:cs="Segoe UI"/>
          <w:b/>
          <w:bCs/>
          <w:color w:val="242424"/>
          <w:bdr w:val="none" w:sz="0" w:space="0" w:color="auto" w:frame="1"/>
        </w:rPr>
        <w:lastRenderedPageBreak/>
        <w:t>Obuhvaća li ovaj javni poziv i projekte za prvu polovicu 2026. godine (travanj/svibanj) ili za to razdoblje ide novi natječaj?</w:t>
      </w:r>
    </w:p>
    <w:p w14:paraId="358BED8D" w14:textId="77777777" w:rsidR="002A0EA4" w:rsidRDefault="002A0EA4" w:rsidP="002A0EA4">
      <w:pPr>
        <w:pStyle w:val="NormalWeb"/>
        <w:shd w:val="clear" w:color="auto" w:fill="FFFFFF"/>
        <w:spacing w:before="0" w:beforeAutospacing="0" w:after="0" w:afterAutospacing="0"/>
        <w:rPr>
          <w:rFonts w:ascii="Aptos" w:hAnsi="Aptos"/>
          <w:color w:val="242424"/>
        </w:rPr>
      </w:pPr>
      <w:r>
        <w:rPr>
          <w:rFonts w:ascii="Aptos" w:hAnsi="Aptos"/>
          <w:color w:val="242424"/>
          <w:bdr w:val="none" w:sz="0" w:space="0" w:color="auto" w:frame="1"/>
        </w:rPr>
        <w:t>Grad Zagreb objavio je Javni poziv za dodjelu državnih potpora za kulturna događanja na području Grada Zagreba za 2025. godinu za organizaciju umjetničkih ili kulturnih događanja i festivala koji se održavaju na području Grada Zagreba isključivo tijekom 2025. godine.</w:t>
      </w:r>
    </w:p>
    <w:p w14:paraId="54251928" w14:textId="77777777" w:rsidR="002A0EA4" w:rsidRDefault="002A0EA4" w:rsidP="002A0EA4">
      <w:pPr>
        <w:pStyle w:val="NormalWeb"/>
        <w:shd w:val="clear" w:color="auto" w:fill="FFFFFF"/>
        <w:spacing w:before="0" w:beforeAutospacing="0" w:after="0" w:afterAutospacing="0"/>
        <w:rPr>
          <w:rFonts w:ascii="Aptos" w:hAnsi="Aptos"/>
          <w:color w:val="242424"/>
        </w:rPr>
      </w:pPr>
      <w:r>
        <w:rPr>
          <w:rFonts w:ascii="Aptos" w:hAnsi="Aptos"/>
          <w:color w:val="242424"/>
          <w:bdr w:val="none" w:sz="0" w:space="0" w:color="auto" w:frame="1"/>
        </w:rPr>
        <w:t> </w:t>
      </w:r>
    </w:p>
    <w:p w14:paraId="2E42F2B1" w14:textId="77777777" w:rsidR="002A0EA4" w:rsidRDefault="002A0EA4" w:rsidP="002A0EA4">
      <w:pPr>
        <w:numPr>
          <w:ilvl w:val="0"/>
          <w:numId w:val="3"/>
        </w:numPr>
        <w:shd w:val="clear" w:color="auto" w:fill="FFFFFF"/>
        <w:spacing w:after="0" w:line="240" w:lineRule="auto"/>
        <w:rPr>
          <w:rFonts w:ascii="Aptos" w:hAnsi="Aptos" w:cs="Segoe UI"/>
          <w:color w:val="242424"/>
        </w:rPr>
      </w:pPr>
      <w:r>
        <w:rPr>
          <w:rFonts w:ascii="Aptos" w:hAnsi="Aptos" w:cs="Segoe UI"/>
          <w:b/>
          <w:bCs/>
          <w:color w:val="242424"/>
          <w:bdr w:val="none" w:sz="0" w:space="0" w:color="auto" w:frame="1"/>
        </w:rPr>
        <w:t>Ljubazno molim informaciju vezano za potvrdu o nedugovanju prema Gradu Zagrebu. Taj se zahtjev podnosi emailom uredu za financije Grada Zagreba?</w:t>
      </w:r>
    </w:p>
    <w:p w14:paraId="59653E00" w14:textId="0B64C343" w:rsidR="002A0EA4" w:rsidRDefault="002A0EA4" w:rsidP="002A0EA4">
      <w:pPr>
        <w:pStyle w:val="NormalWeb"/>
        <w:shd w:val="clear" w:color="auto" w:fill="FFFFFF"/>
        <w:spacing w:before="0" w:beforeAutospacing="0" w:after="0" w:afterAutospacing="0"/>
        <w:rPr>
          <w:rFonts w:ascii="Aptos" w:hAnsi="Aptos"/>
          <w:color w:val="242424"/>
          <w:bdr w:val="none" w:sz="0" w:space="0" w:color="auto" w:frame="1"/>
        </w:rPr>
      </w:pPr>
      <w:r>
        <w:rPr>
          <w:rFonts w:ascii="Aptos" w:hAnsi="Aptos"/>
          <w:color w:val="242424"/>
          <w:bdr w:val="none" w:sz="0" w:space="0" w:color="auto" w:frame="1"/>
        </w:rPr>
        <w:t xml:space="preserve">Upute o podnošenju Zahtjeva za izdavanje potvrde o nepostojanju duga prema Gradu Zagrebu s bilo koje osnove, možete naći na sljedećoj </w:t>
      </w:r>
      <w:r w:rsidR="008202D5">
        <w:rPr>
          <w:rFonts w:ascii="Aptos" w:hAnsi="Aptos"/>
          <w:color w:val="242424"/>
          <w:bdr w:val="none" w:sz="0" w:space="0" w:color="auto" w:frame="1"/>
        </w:rPr>
        <w:t>p</w:t>
      </w:r>
      <w:r>
        <w:rPr>
          <w:rFonts w:ascii="Aptos" w:hAnsi="Aptos"/>
          <w:color w:val="242424"/>
          <w:bdr w:val="none" w:sz="0" w:space="0" w:color="auto" w:frame="1"/>
        </w:rPr>
        <w:t>oveznici: </w:t>
      </w:r>
      <w:hyperlink r:id="rId8" w:tgtFrame="_blank" w:tooltip="https://zagreb.hr/obrasci/113897" w:history="1">
        <w:r>
          <w:rPr>
            <w:rStyle w:val="Hyperlink"/>
            <w:rFonts w:ascii="Aptos" w:eastAsiaTheme="majorEastAsia" w:hAnsi="Aptos"/>
            <w:bdr w:val="none" w:sz="0" w:space="0" w:color="auto" w:frame="1"/>
          </w:rPr>
          <w:t>https://zagreb.hr/obrasci/113897</w:t>
        </w:r>
      </w:hyperlink>
      <w:r>
        <w:rPr>
          <w:rFonts w:ascii="Aptos" w:hAnsi="Aptos"/>
          <w:color w:val="242424"/>
          <w:bdr w:val="none" w:sz="0" w:space="0" w:color="auto" w:frame="1"/>
        </w:rPr>
        <w:t>.</w:t>
      </w:r>
    </w:p>
    <w:p w14:paraId="33A39830" w14:textId="77777777" w:rsidR="008959AD" w:rsidRDefault="008959AD" w:rsidP="002A0EA4">
      <w:pPr>
        <w:pStyle w:val="NormalWeb"/>
        <w:shd w:val="clear" w:color="auto" w:fill="FFFFFF"/>
        <w:spacing w:before="0" w:beforeAutospacing="0" w:after="0" w:afterAutospacing="0"/>
        <w:rPr>
          <w:rFonts w:ascii="Aptos" w:hAnsi="Aptos"/>
          <w:color w:val="242424"/>
        </w:rPr>
      </w:pPr>
    </w:p>
    <w:p w14:paraId="5EA6BFEE" w14:textId="6E9F1457" w:rsidR="008959AD" w:rsidRPr="008959AD" w:rsidRDefault="008959AD" w:rsidP="0056062B">
      <w:pPr>
        <w:numPr>
          <w:ilvl w:val="0"/>
          <w:numId w:val="4"/>
        </w:numPr>
        <w:shd w:val="clear" w:color="auto" w:fill="FFFFFF"/>
        <w:spacing w:after="0" w:line="276" w:lineRule="atLeast"/>
        <w:jc w:val="both"/>
        <w:rPr>
          <w:rFonts w:ascii="Book Antiqua" w:eastAsia="Times New Roman" w:hAnsi="Book Antiqua" w:cs="Times New Roman"/>
          <w:color w:val="242424"/>
          <w:kern w:val="0"/>
          <w:bdr w:val="none" w:sz="0" w:space="0" w:color="auto" w:frame="1"/>
          <w:lang w:eastAsia="hr-HR"/>
          <w14:ligatures w14:val="none"/>
        </w:rPr>
      </w:pPr>
      <w:r w:rsidRPr="008959AD">
        <w:rPr>
          <w:rFonts w:ascii="Aptos" w:hAnsi="Aptos" w:cs="Segoe UI"/>
          <w:b/>
          <w:bCs/>
          <w:color w:val="242424"/>
          <w:bdr w:val="none" w:sz="0" w:space="0" w:color="auto" w:frame="1"/>
        </w:rPr>
        <w:t>Molimo objašnjenje nedoumice oko troškova koji pripadaju u troškove</w:t>
      </w:r>
      <w:r w:rsidRPr="008959AD">
        <w:rPr>
          <w:rFonts w:ascii="Book Antiqua" w:eastAsia="Times New Roman" w:hAnsi="Book Antiqua" w:cs="Segoe UI"/>
          <w:b/>
          <w:bCs/>
          <w:color w:val="242424"/>
          <w:kern w:val="0"/>
          <w:bdr w:val="none" w:sz="0" w:space="0" w:color="auto" w:frame="1"/>
          <w:lang w:eastAsia="hr-HR"/>
          <w14:ligatures w14:val="none"/>
        </w:rPr>
        <w:t xml:space="preserve"> poslovanja, a koji u troškove osoblja.</w:t>
      </w:r>
    </w:p>
    <w:p w14:paraId="3A4929C4" w14:textId="2D4F84CF" w:rsidR="008959AD" w:rsidRPr="008959AD" w:rsidRDefault="008959AD" w:rsidP="008959AD">
      <w:pPr>
        <w:shd w:val="clear" w:color="auto" w:fill="FFFFFF"/>
        <w:spacing w:after="0" w:line="276" w:lineRule="atLeast"/>
        <w:jc w:val="both"/>
        <w:rPr>
          <w:rFonts w:ascii="Aptos" w:eastAsia="Times New Roman" w:hAnsi="Aptos" w:cs="Times New Roman"/>
          <w:color w:val="242424"/>
          <w:kern w:val="0"/>
          <w:lang w:eastAsia="hr-HR"/>
          <w14:ligatures w14:val="none"/>
        </w:rPr>
      </w:pPr>
      <w:r w:rsidRPr="008959AD">
        <w:rPr>
          <w:rFonts w:ascii="Book Antiqua" w:eastAsia="Times New Roman" w:hAnsi="Book Antiqua" w:cs="Times New Roman"/>
          <w:color w:val="242424"/>
          <w:kern w:val="0"/>
          <w:bdr w:val="none" w:sz="0" w:space="0" w:color="auto" w:frame="1"/>
          <w:lang w:eastAsia="hr-HR"/>
          <w14:ligatures w14:val="none"/>
        </w:rPr>
        <w:t>Svi koji su angažirani kao vanjski suradnici za specifičan projekt (bez stalnog radnog odnosa, ugovor o djelu, autorski ugovor i sl.) i direktno su povezani s realizacijom kulturnog projekta ili aktivnosti, njihovi honorari će se računati kao prihvatljiv trošak poslovanja (ovdje bi onda prihvatljivi bili troškovi studenata, troškovi izvođača, troškovi zaštitara i sl.).</w:t>
      </w:r>
    </w:p>
    <w:p w14:paraId="23D42949" w14:textId="77777777" w:rsidR="008959AD" w:rsidRPr="008959AD" w:rsidRDefault="008959AD" w:rsidP="008959AD">
      <w:pPr>
        <w:shd w:val="clear" w:color="auto" w:fill="FFFFFF"/>
        <w:spacing w:after="0" w:line="276" w:lineRule="atLeast"/>
        <w:jc w:val="both"/>
        <w:rPr>
          <w:rFonts w:ascii="Aptos" w:eastAsia="Times New Roman" w:hAnsi="Aptos" w:cs="Times New Roman"/>
          <w:color w:val="242424"/>
          <w:kern w:val="0"/>
          <w:lang w:eastAsia="hr-HR"/>
          <w14:ligatures w14:val="none"/>
        </w:rPr>
      </w:pPr>
      <w:r w:rsidRPr="008959AD">
        <w:rPr>
          <w:rFonts w:ascii="Book Antiqua" w:eastAsia="Times New Roman" w:hAnsi="Book Antiqua" w:cs="Times New Roman"/>
          <w:color w:val="242424"/>
          <w:kern w:val="0"/>
          <w:bdr w:val="none" w:sz="0" w:space="0" w:color="auto" w:frame="1"/>
          <w:lang w:eastAsia="hr-HR"/>
          <w14:ligatures w14:val="none"/>
        </w:rPr>
        <w:t>Svi koji su zaposleni u instituciji, njihovi troškovi pripadaju pod troškove osoblja te su ograničeni na 20% ukupnog iznosa prihvatljivih troškova.</w:t>
      </w:r>
    </w:p>
    <w:p w14:paraId="38E52AA3" w14:textId="1C086DB4" w:rsidR="0015716A" w:rsidRPr="003875C3" w:rsidRDefault="0015716A" w:rsidP="003875C3">
      <w:pPr>
        <w:pStyle w:val="ListParagraph"/>
        <w:jc w:val="both"/>
        <w:rPr>
          <w:rFonts w:ascii="Book Antiqua" w:hAnsi="Book Antiqua"/>
          <w:b/>
          <w:bCs/>
        </w:rPr>
      </w:pPr>
    </w:p>
    <w:sectPr w:rsidR="0015716A" w:rsidRPr="003875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AB702" w14:textId="77777777" w:rsidR="00E7008E" w:rsidRDefault="00E7008E" w:rsidP="00405736">
      <w:pPr>
        <w:spacing w:after="0" w:line="240" w:lineRule="auto"/>
      </w:pPr>
      <w:r>
        <w:separator/>
      </w:r>
    </w:p>
  </w:endnote>
  <w:endnote w:type="continuationSeparator" w:id="0">
    <w:p w14:paraId="39242039" w14:textId="77777777" w:rsidR="00E7008E" w:rsidRDefault="00E7008E" w:rsidP="0040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B98E" w14:textId="77777777" w:rsidR="00E7008E" w:rsidRDefault="00E7008E" w:rsidP="00405736">
      <w:pPr>
        <w:spacing w:after="0" w:line="240" w:lineRule="auto"/>
      </w:pPr>
      <w:r>
        <w:separator/>
      </w:r>
    </w:p>
  </w:footnote>
  <w:footnote w:type="continuationSeparator" w:id="0">
    <w:p w14:paraId="1855A188" w14:textId="77777777" w:rsidR="00E7008E" w:rsidRDefault="00E7008E" w:rsidP="00405736">
      <w:pPr>
        <w:spacing w:after="0" w:line="240" w:lineRule="auto"/>
      </w:pPr>
      <w:r>
        <w:continuationSeparator/>
      </w:r>
    </w:p>
  </w:footnote>
  <w:footnote w:id="1">
    <w:p w14:paraId="01563B2B" w14:textId="77777777" w:rsidR="00405736" w:rsidRDefault="00405736" w:rsidP="00405736">
      <w:pPr>
        <w:pStyle w:val="FootnoteText"/>
      </w:pPr>
      <w:r>
        <w:rPr>
          <w:rStyle w:val="FootnoteReference"/>
        </w:rPr>
        <w:footnoteRef/>
      </w:r>
      <w:r>
        <w:t xml:space="preserve"> </w:t>
      </w:r>
      <w:hyperlink r:id="rId1" w:history="1">
        <w:r>
          <w:rPr>
            <w:rStyle w:val="Hyperlink"/>
          </w:rPr>
          <w:t>https://competition-policy.ec.europa.eu/state-aid/legislation/sgei/swap-rate-proxies_en</w:t>
        </w:r>
      </w:hyperlink>
      <w:r>
        <w:t xml:space="preserve">. </w:t>
      </w:r>
    </w:p>
  </w:footnote>
  <w:footnote w:id="2">
    <w:p w14:paraId="2C83DDC4" w14:textId="7AF05360" w:rsidR="00F43D77" w:rsidRDefault="00F43D77" w:rsidP="00F43D77">
      <w:pPr>
        <w:pStyle w:val="FootnoteText"/>
      </w:pPr>
      <w:r>
        <w:rPr>
          <w:rStyle w:val="FootnoteReference"/>
        </w:rPr>
        <w:footnoteRef/>
      </w:r>
      <w:r>
        <w:t xml:space="preserve"> </w:t>
      </w:r>
      <w:r w:rsidR="006B6835">
        <w:t>isto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016F"/>
    <w:multiLevelType w:val="multilevel"/>
    <w:tmpl w:val="6FD6D1F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D73B65"/>
    <w:multiLevelType w:val="multilevel"/>
    <w:tmpl w:val="C08064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6844C2"/>
    <w:multiLevelType w:val="hybridMultilevel"/>
    <w:tmpl w:val="BADADF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6CD5A57"/>
    <w:multiLevelType w:val="multilevel"/>
    <w:tmpl w:val="03B6DF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229432">
    <w:abstractNumId w:val="2"/>
  </w:num>
  <w:num w:numId="2" w16cid:durableId="1742026467">
    <w:abstractNumId w:val="1"/>
  </w:num>
  <w:num w:numId="3" w16cid:durableId="1518034369">
    <w:abstractNumId w:val="3"/>
  </w:num>
  <w:num w:numId="4" w16cid:durableId="150012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EF"/>
    <w:rsid w:val="00011C28"/>
    <w:rsid w:val="000C00FE"/>
    <w:rsid w:val="00140C6E"/>
    <w:rsid w:val="0015716A"/>
    <w:rsid w:val="001C4BAA"/>
    <w:rsid w:val="001E077A"/>
    <w:rsid w:val="002631D0"/>
    <w:rsid w:val="002A0EA4"/>
    <w:rsid w:val="002D0E67"/>
    <w:rsid w:val="00326D6F"/>
    <w:rsid w:val="00363F92"/>
    <w:rsid w:val="00376BD9"/>
    <w:rsid w:val="003875C3"/>
    <w:rsid w:val="00391F47"/>
    <w:rsid w:val="003D3CAE"/>
    <w:rsid w:val="00405736"/>
    <w:rsid w:val="00575679"/>
    <w:rsid w:val="00591CED"/>
    <w:rsid w:val="0069276B"/>
    <w:rsid w:val="006B6835"/>
    <w:rsid w:val="007A2CEF"/>
    <w:rsid w:val="007B1472"/>
    <w:rsid w:val="007B2C44"/>
    <w:rsid w:val="007E5327"/>
    <w:rsid w:val="008202D5"/>
    <w:rsid w:val="00822E25"/>
    <w:rsid w:val="00862C3F"/>
    <w:rsid w:val="00865E0E"/>
    <w:rsid w:val="00886A79"/>
    <w:rsid w:val="008918E2"/>
    <w:rsid w:val="008959AD"/>
    <w:rsid w:val="008A6108"/>
    <w:rsid w:val="0099641C"/>
    <w:rsid w:val="009B0909"/>
    <w:rsid w:val="009E0C95"/>
    <w:rsid w:val="009F308A"/>
    <w:rsid w:val="00A5671D"/>
    <w:rsid w:val="00A653A8"/>
    <w:rsid w:val="00AD1D4E"/>
    <w:rsid w:val="00B2173B"/>
    <w:rsid w:val="00BB13F3"/>
    <w:rsid w:val="00BB3D6E"/>
    <w:rsid w:val="00BD4BE3"/>
    <w:rsid w:val="00C5018A"/>
    <w:rsid w:val="00CB5BAB"/>
    <w:rsid w:val="00D14FFB"/>
    <w:rsid w:val="00D672AD"/>
    <w:rsid w:val="00D80B00"/>
    <w:rsid w:val="00DB23E3"/>
    <w:rsid w:val="00E01798"/>
    <w:rsid w:val="00E522FF"/>
    <w:rsid w:val="00E7008E"/>
    <w:rsid w:val="00EE626C"/>
    <w:rsid w:val="00F43D77"/>
    <w:rsid w:val="00F7356E"/>
    <w:rsid w:val="00FA3832"/>
    <w:rsid w:val="00FC2E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3B40"/>
  <w15:chartTrackingRefBased/>
  <w15:docId w15:val="{2456473B-4793-43A4-BB0B-89816AEB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CEF"/>
    <w:rPr>
      <w:rFonts w:eastAsiaTheme="majorEastAsia" w:cstheme="majorBidi"/>
      <w:color w:val="272727" w:themeColor="text1" w:themeTint="D8"/>
    </w:rPr>
  </w:style>
  <w:style w:type="paragraph" w:styleId="Title">
    <w:name w:val="Title"/>
    <w:basedOn w:val="Normal"/>
    <w:next w:val="Normal"/>
    <w:link w:val="TitleChar"/>
    <w:uiPriority w:val="10"/>
    <w:qFormat/>
    <w:rsid w:val="007A2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CEF"/>
    <w:pPr>
      <w:spacing w:before="160"/>
      <w:jc w:val="center"/>
    </w:pPr>
    <w:rPr>
      <w:i/>
      <w:iCs/>
      <w:color w:val="404040" w:themeColor="text1" w:themeTint="BF"/>
    </w:rPr>
  </w:style>
  <w:style w:type="character" w:customStyle="1" w:styleId="QuoteChar">
    <w:name w:val="Quote Char"/>
    <w:basedOn w:val="DefaultParagraphFont"/>
    <w:link w:val="Quote"/>
    <w:uiPriority w:val="29"/>
    <w:rsid w:val="007A2CEF"/>
    <w:rPr>
      <w:i/>
      <w:iCs/>
      <w:color w:val="404040" w:themeColor="text1" w:themeTint="BF"/>
    </w:rPr>
  </w:style>
  <w:style w:type="paragraph" w:styleId="ListParagraph">
    <w:name w:val="List Paragraph"/>
    <w:basedOn w:val="Normal"/>
    <w:uiPriority w:val="34"/>
    <w:qFormat/>
    <w:rsid w:val="007A2CEF"/>
    <w:pPr>
      <w:ind w:left="720"/>
      <w:contextualSpacing/>
    </w:pPr>
  </w:style>
  <w:style w:type="character" w:styleId="IntenseEmphasis">
    <w:name w:val="Intense Emphasis"/>
    <w:basedOn w:val="DefaultParagraphFont"/>
    <w:uiPriority w:val="21"/>
    <w:qFormat/>
    <w:rsid w:val="007A2CEF"/>
    <w:rPr>
      <w:i/>
      <w:iCs/>
      <w:color w:val="0F4761" w:themeColor="accent1" w:themeShade="BF"/>
    </w:rPr>
  </w:style>
  <w:style w:type="paragraph" w:styleId="IntenseQuote">
    <w:name w:val="Intense Quote"/>
    <w:basedOn w:val="Normal"/>
    <w:next w:val="Normal"/>
    <w:link w:val="IntenseQuoteChar"/>
    <w:uiPriority w:val="30"/>
    <w:qFormat/>
    <w:rsid w:val="007A2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CEF"/>
    <w:rPr>
      <w:i/>
      <w:iCs/>
      <w:color w:val="0F4761" w:themeColor="accent1" w:themeShade="BF"/>
    </w:rPr>
  </w:style>
  <w:style w:type="character" w:styleId="IntenseReference">
    <w:name w:val="Intense Reference"/>
    <w:basedOn w:val="DefaultParagraphFont"/>
    <w:uiPriority w:val="32"/>
    <w:qFormat/>
    <w:rsid w:val="007A2CEF"/>
    <w:rPr>
      <w:b/>
      <w:bCs/>
      <w:smallCaps/>
      <w:color w:val="0F4761" w:themeColor="accent1" w:themeShade="BF"/>
      <w:spacing w:val="5"/>
    </w:rPr>
  </w:style>
  <w:style w:type="character" w:styleId="Hyperlink">
    <w:name w:val="Hyperlink"/>
    <w:basedOn w:val="DefaultParagraphFont"/>
    <w:uiPriority w:val="99"/>
    <w:unhideWhenUsed/>
    <w:rsid w:val="007A2CEF"/>
    <w:rPr>
      <w:color w:val="467886" w:themeColor="hyperlink"/>
      <w:u w:val="single"/>
    </w:rPr>
  </w:style>
  <w:style w:type="character" w:styleId="UnresolvedMention">
    <w:name w:val="Unresolved Mention"/>
    <w:basedOn w:val="DefaultParagraphFont"/>
    <w:uiPriority w:val="99"/>
    <w:semiHidden/>
    <w:unhideWhenUsed/>
    <w:rsid w:val="007A2CEF"/>
    <w:rPr>
      <w:color w:val="605E5C"/>
      <w:shd w:val="clear" w:color="auto" w:fill="E1DFDD"/>
    </w:rPr>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05736"/>
    <w:pPr>
      <w:spacing w:after="0" w:line="240" w:lineRule="auto"/>
    </w:pPr>
    <w:rPr>
      <w:kern w:val="0"/>
      <w:sz w:val="20"/>
      <w:szCs w:val="20"/>
      <w14:ligatures w14:val="none"/>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rsid w:val="00405736"/>
    <w:rPr>
      <w:kern w:val="0"/>
      <w:sz w:val="20"/>
      <w:szCs w:val="20"/>
      <w14:ligatures w14:val="none"/>
    </w:rPr>
  </w:style>
  <w:style w:type="character" w:styleId="FootnoteReference">
    <w:name w:val="footnote reference"/>
    <w:basedOn w:val="DefaultParagraphFont"/>
    <w:uiPriority w:val="99"/>
    <w:semiHidden/>
    <w:unhideWhenUsed/>
    <w:rsid w:val="00405736"/>
    <w:rPr>
      <w:vertAlign w:val="superscript"/>
    </w:rPr>
  </w:style>
  <w:style w:type="character" w:styleId="CommentReference">
    <w:name w:val="annotation reference"/>
    <w:basedOn w:val="DefaultParagraphFont"/>
    <w:uiPriority w:val="99"/>
    <w:semiHidden/>
    <w:unhideWhenUsed/>
    <w:rsid w:val="00D14FFB"/>
    <w:rPr>
      <w:sz w:val="16"/>
      <w:szCs w:val="16"/>
    </w:rPr>
  </w:style>
  <w:style w:type="paragraph" w:styleId="CommentText">
    <w:name w:val="annotation text"/>
    <w:basedOn w:val="Normal"/>
    <w:link w:val="CommentTextChar"/>
    <w:uiPriority w:val="99"/>
    <w:unhideWhenUsed/>
    <w:rsid w:val="00D14FFB"/>
    <w:pPr>
      <w:spacing w:line="240" w:lineRule="auto"/>
    </w:pPr>
    <w:rPr>
      <w:sz w:val="20"/>
      <w:szCs w:val="20"/>
    </w:rPr>
  </w:style>
  <w:style w:type="character" w:customStyle="1" w:styleId="CommentTextChar">
    <w:name w:val="Comment Text Char"/>
    <w:basedOn w:val="DefaultParagraphFont"/>
    <w:link w:val="CommentText"/>
    <w:uiPriority w:val="99"/>
    <w:rsid w:val="00D14FFB"/>
    <w:rPr>
      <w:sz w:val="20"/>
      <w:szCs w:val="20"/>
    </w:rPr>
  </w:style>
  <w:style w:type="paragraph" w:styleId="CommentSubject">
    <w:name w:val="annotation subject"/>
    <w:basedOn w:val="CommentText"/>
    <w:next w:val="CommentText"/>
    <w:link w:val="CommentSubjectChar"/>
    <w:uiPriority w:val="99"/>
    <w:semiHidden/>
    <w:unhideWhenUsed/>
    <w:rsid w:val="00D14FFB"/>
    <w:rPr>
      <w:b/>
      <w:bCs/>
    </w:rPr>
  </w:style>
  <w:style w:type="character" w:customStyle="1" w:styleId="CommentSubjectChar">
    <w:name w:val="Comment Subject Char"/>
    <w:basedOn w:val="CommentTextChar"/>
    <w:link w:val="CommentSubject"/>
    <w:uiPriority w:val="99"/>
    <w:semiHidden/>
    <w:rsid w:val="00D14FFB"/>
    <w:rPr>
      <w:b/>
      <w:bCs/>
      <w:sz w:val="20"/>
      <w:szCs w:val="20"/>
    </w:rPr>
  </w:style>
  <w:style w:type="paragraph" w:styleId="BalloonText">
    <w:name w:val="Balloon Text"/>
    <w:basedOn w:val="Normal"/>
    <w:link w:val="BalloonTextChar"/>
    <w:uiPriority w:val="99"/>
    <w:semiHidden/>
    <w:unhideWhenUsed/>
    <w:rsid w:val="00996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41C"/>
    <w:rPr>
      <w:rFonts w:ascii="Segoe UI" w:hAnsi="Segoe UI" w:cs="Segoe UI"/>
      <w:sz w:val="18"/>
      <w:szCs w:val="18"/>
    </w:rPr>
  </w:style>
  <w:style w:type="paragraph" w:styleId="NormalWeb">
    <w:name w:val="Normal (Web)"/>
    <w:basedOn w:val="Normal"/>
    <w:uiPriority w:val="99"/>
    <w:semiHidden/>
    <w:unhideWhenUsed/>
    <w:rsid w:val="002A0EA4"/>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2962">
      <w:bodyDiv w:val="1"/>
      <w:marLeft w:val="0"/>
      <w:marRight w:val="0"/>
      <w:marTop w:val="0"/>
      <w:marBottom w:val="0"/>
      <w:divBdr>
        <w:top w:val="none" w:sz="0" w:space="0" w:color="auto"/>
        <w:left w:val="none" w:sz="0" w:space="0" w:color="auto"/>
        <w:bottom w:val="none" w:sz="0" w:space="0" w:color="auto"/>
        <w:right w:val="none" w:sz="0" w:space="0" w:color="auto"/>
      </w:divBdr>
    </w:div>
    <w:div w:id="1072890550">
      <w:bodyDiv w:val="1"/>
      <w:marLeft w:val="0"/>
      <w:marRight w:val="0"/>
      <w:marTop w:val="0"/>
      <w:marBottom w:val="0"/>
      <w:divBdr>
        <w:top w:val="none" w:sz="0" w:space="0" w:color="auto"/>
        <w:left w:val="none" w:sz="0" w:space="0" w:color="auto"/>
        <w:bottom w:val="none" w:sz="0" w:space="0" w:color="auto"/>
        <w:right w:val="none" w:sz="0" w:space="0" w:color="auto"/>
      </w:divBdr>
    </w:div>
    <w:div w:id="1204058374">
      <w:bodyDiv w:val="1"/>
      <w:marLeft w:val="0"/>
      <w:marRight w:val="0"/>
      <w:marTop w:val="0"/>
      <w:marBottom w:val="0"/>
      <w:divBdr>
        <w:top w:val="none" w:sz="0" w:space="0" w:color="auto"/>
        <w:left w:val="none" w:sz="0" w:space="0" w:color="auto"/>
        <w:bottom w:val="none" w:sz="0" w:space="0" w:color="auto"/>
        <w:right w:val="none" w:sz="0" w:space="0" w:color="auto"/>
      </w:divBdr>
    </w:div>
    <w:div w:id="1329863385">
      <w:bodyDiv w:val="1"/>
      <w:marLeft w:val="0"/>
      <w:marRight w:val="0"/>
      <w:marTop w:val="0"/>
      <w:marBottom w:val="0"/>
      <w:divBdr>
        <w:top w:val="none" w:sz="0" w:space="0" w:color="auto"/>
        <w:left w:val="none" w:sz="0" w:space="0" w:color="auto"/>
        <w:bottom w:val="none" w:sz="0" w:space="0" w:color="auto"/>
        <w:right w:val="none" w:sz="0" w:space="0" w:color="auto"/>
      </w:divBdr>
    </w:div>
    <w:div w:id="13999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greb.hr/obrasci/113897" TargetMode="External"/><Relationship Id="rId3" Type="http://schemas.openxmlformats.org/officeDocument/2006/relationships/settings" Target="settings.xml"/><Relationship Id="rId7" Type="http://schemas.openxmlformats.org/officeDocument/2006/relationships/hyperlink" Target="http://www.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sgei/swap-rate-prox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Oliver Knežević</cp:lastModifiedBy>
  <cp:revision>12</cp:revision>
  <dcterms:created xsi:type="dcterms:W3CDTF">2025-05-02T09:09:00Z</dcterms:created>
  <dcterms:modified xsi:type="dcterms:W3CDTF">2025-05-16T07:39:00Z</dcterms:modified>
</cp:coreProperties>
</file>